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бывший участник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общество: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действительной стоимости доли в уставном капитале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действительной стоимости доли в уставном капитале общества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[присудив заниженную сумму], суды неправильно применили статьи 23 и 26 Закона об ООО: действительная стоимость доли определяется по рыночной стоимости чистых активов, а не по балансу (части 1 и 2 статьи 288 АПК РФ).</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(кроме споров, указанных в иных пунктах настоящей части), в частности споры, вытекающие из договоров купли-продажи акций, долей в уставном (складочном) капитале хозяйственных обществ, партнерств, товариществ, споры, связанные с обращением взыскания на акции и доли в уставном (складочном) капитале хозяйственных обществ, партнерств, товариществ,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 Спор относится к спорам, связанным с принадлежностью долей и реализацией вытекающих из них прав (пункт 2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Право на выход.</w:t>
      </w:r>
      <w:r>
        <w:rPr>
          <w:rFonts w:ascii="Times New Roman" w:hAnsi="Times New Roman"/>
          <w:b w:val="0"/>
          <w:i w:val="0"/>
          <w:sz w:val="24"/>
        </w:rPr>
        <w:t xml:space="preserve"> Пунктом 1 статьи 26 Федерального закона от 08.02.1998 № 14-ФЗ «Об обществах с ограниченной ответственностью» (далее — Закон об ООО) установлено: «Участник общества вправе выйти из общества путем отчуждения доли обществу независимо от согласия других его участников или общества, если это предусмотрено уставом общества. Заявление участника общества о выходе из общества должно быть нотариально удостоверено по правилам, предусмотренным законодательством о нотариате для удостоверения сделок.»</w:t>
      </w:r>
    </w:p>
    <w:p>
      <w:pPr>
        <w:spacing w:after="120" w:line="276" w:lineRule="auto"/>
        <w:ind w:firstLine="709"/>
        <w:jc w:val="both"/>
      </w:pPr>
      <w:r>
        <w:rPr>
          <w:rFonts w:ascii="Times New Roman" w:hAnsi="Times New Roman"/>
          <w:b/>
          <w:i w:val="0"/>
          <w:sz w:val="24"/>
        </w:rPr>
        <w:t>Обязанность выплатить действительную стоимость доли.</w:t>
      </w:r>
      <w:r>
        <w:rPr>
          <w:rFonts w:ascii="Times New Roman" w:hAnsi="Times New Roman"/>
          <w:b w:val="0"/>
          <w:i w:val="0"/>
          <w:sz w:val="24"/>
        </w:rPr>
        <w:t xml:space="preserve"> Пунктом 6.1 статьи 23 Закона об ООО предусмотрено: «В случае выхода участника общества из общества в соответствии со статьей 26 настоящего Федерального закона его доля переходит к обществу. При этом общество обязано выплатить вышедшему из общества участнику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 если иной срок или порядок выплаты действительной стоимости доли или части доли не предусмотрен уставом общества.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pPr>
        <w:spacing w:after="120" w:line="276" w:lineRule="auto"/>
        <w:ind w:firstLine="709"/>
        <w:jc w:val="both"/>
      </w:pPr>
      <w:r>
        <w:rPr>
          <w:rFonts w:ascii="Times New Roman" w:hAnsi="Times New Roman"/>
          <w:b/>
          <w:i w:val="0"/>
          <w:sz w:val="24"/>
        </w:rPr>
        <w:t>Порядок расчёта.</w:t>
      </w:r>
      <w:r>
        <w:rPr>
          <w:rFonts w:ascii="Times New Roman" w:hAnsi="Times New Roman"/>
          <w:b w:val="0"/>
          <w:i w:val="0"/>
          <w:sz w:val="24"/>
        </w:rPr>
        <w:t xml:space="preserve"> Действительная стоимость доли определяется пропорционально размеру доли от стоимости чистых активов Общества. Стоимость чистых активов должна отражать реальную, а не только балансовую стоимость имущества: если в отчётности активы учтены по заниженной стоимости, суд определяет её с учётом рыночной стоимости имущества по заключению эксперта.</w:t>
      </w:r>
    </w:p>
    <w:p>
      <w:pPr>
        <w:spacing w:after="120" w:line="276" w:lineRule="auto"/>
        <w:ind w:firstLine="709"/>
        <w:jc w:val="both"/>
      </w:pPr>
      <w:r>
        <w:rPr>
          <w:rFonts w:ascii="Times New Roman" w:hAnsi="Times New Roman"/>
          <w:b/>
          <w:i w:val="0"/>
          <w:sz w:val="24"/>
        </w:rPr>
        <w:t>Проценты за просрочку.</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Срок выплаты истёк «[дата]»; проценты по «[дата]» составляют [сумма] рублей.</w:t>
      </w:r>
    </w:p>
    <w:p>
      <w:pPr>
        <w:spacing w:after="120" w:line="276" w:lineRule="auto"/>
        <w:ind w:firstLine="709"/>
        <w:jc w:val="both"/>
      </w:pPr>
      <w:r>
        <w:rPr>
          <w:rFonts w:ascii="Times New Roman" w:hAnsi="Times New Roman"/>
          <w:b/>
          <w:i w:val="0"/>
          <w:sz w:val="24"/>
        </w:rPr>
        <w:t>Права участника.</w:t>
      </w:r>
      <w:r>
        <w:rPr>
          <w:rFonts w:ascii="Times New Roman" w:hAnsi="Times New Roman"/>
          <w:b w:val="0"/>
          <w:i w:val="0"/>
          <w:sz w:val="24"/>
        </w:rPr>
        <w:t xml:space="preserve"> Пунктом 1 статьи 8 Закона об ООО установлено, что участники общества вправе «выйти из общества путем отчуждения своей доли обществу, если такая возможность предусмотрена уставом общества, или потребовать приобретения обществом доли в случаях, предусмотренных настоящим Федеральным законом»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94 ГК РФ, статьями 14, 23, 26 Федерального закона «Об обществах с ограниченной ответственностью»,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