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правообладатель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защите исключительного права на товарный знак, взыскании компенсации и изъятии контрафактных товаров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компенсации за незаконное использование товарного знака и изъятии контрафактного товара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[снизив компенсацию], суды неправильно применили статьи 1484, 1515 и 1252 ГК РФ: ответчик использовал обозначение, сходное до степени смешения с товарным знаком истца, без его согласия (части 1 и 2 статьи 288 АПК РФ).</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Исключительное право на товарный знак.</w:t>
      </w:r>
      <w:r>
        <w:rPr>
          <w:rFonts w:ascii="Times New Roman" w:hAnsi="Times New Roman"/>
          <w:b w:val="0"/>
          <w:i w:val="0"/>
          <w:sz w:val="24"/>
        </w:rPr>
        <w:t xml:space="preserve"> Пунктом 1 статьи 1484 ГК РФ установлено: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настоящего Кодекса любым не противоречащим закону способом (исключительное право на товарный знак), в том числе способами, указанными в пункте 2 настоящей статьи. Правообладатель может распоряжаться исключительным правом на товарный знак.» Согласно пункту 2 той же статьи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«в предложениях о продаже товаров, о выполнении работ, об оказании услуг, а также в объявлениях, на вывесках и в рекламе»; «в сети "Интернет", в том числе в доменном имени и при других способах адресации.» Пунктом 3 статьи 1484 ГК РФ предусмотрено: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pPr>
        <w:spacing w:after="120" w:line="276" w:lineRule="auto"/>
        <w:ind w:firstLine="709"/>
        <w:jc w:val="both"/>
      </w:pPr>
      <w:r>
        <w:rPr>
          <w:rFonts w:ascii="Times New Roman" w:hAnsi="Times New Roman"/>
          <w:b/>
          <w:i w:val="0"/>
          <w:sz w:val="24"/>
        </w:rPr>
        <w:t>Сходство до степени смешения.</w:t>
      </w:r>
      <w:r>
        <w:rPr>
          <w:rFonts w:ascii="Times New Roman" w:hAnsi="Times New Roman"/>
          <w:b w:val="0"/>
          <w:i w:val="0"/>
          <w:sz w:val="24"/>
        </w:rPr>
        <w:t xml:space="preserve"> Обозначение на товарах ответчика [тождественно / сходно] с товарным знаком истца по [графическому, звуковому, смысловому] признакам; товары однородны (совпадают по виду, назначению, кругу потребителей).</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Контрафакт и его изъятие.</w:t>
      </w:r>
      <w:r>
        <w:rPr>
          <w:rFonts w:ascii="Times New Roman" w:hAnsi="Times New Roman"/>
          <w:b w:val="0"/>
          <w:i w:val="0"/>
          <w:sz w:val="24"/>
        </w:rPr>
        <w:t xml:space="preserve"> Пунктом 1 статьи 1515 ГК РФ установлено: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Согласно пункту 2 той же статьи «Правообладатель вправе требовать изъятия из оборота и уничтожения за счет нарушителя контрафактных товаров, этикеток, упаковок товаров, на которых незаконно размещены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товарного знака или сходного с ним до степени смешения обозначения.»</w:t>
      </w:r>
    </w:p>
    <w:p>
      <w:pPr>
        <w:spacing w:after="120" w:line="276" w:lineRule="auto"/>
        <w:ind w:firstLine="709"/>
        <w:jc w:val="both"/>
      </w:pPr>
      <w:r>
        <w:rPr>
          <w:rFonts w:ascii="Times New Roman" w:hAnsi="Times New Roman"/>
          <w:b/>
          <w:i w:val="0"/>
          <w:sz w:val="24"/>
        </w:rPr>
        <w:t>Компенсация за товарный знак.</w:t>
      </w:r>
      <w:r>
        <w:rPr>
          <w:rFonts w:ascii="Times New Roman" w:hAnsi="Times New Roman"/>
          <w:b w:val="0"/>
          <w:i w:val="0"/>
          <w:sz w:val="24"/>
        </w:rPr>
        <w:t xml:space="preserve"> Пунктом 4 статьи 1515 ГК РФ предусмотрено: «Правообладатель вправе требовать по своему выбору от нарушителя вместо возмещения убытков выплаты компенсации:» «в размере от десяти тысяч до десяти миллионов рублей»; «в размере двукратной стоимости контрафактных товаров»; «в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val="0"/>
          <w:i w:val="0"/>
          <w:sz w:val="24"/>
        </w:rPr>
        <w:t>Истец выбирает компенсацию [в твёрдом размере [сумма] рублей с учётом [длительности и масштаба нарушения, грубого характера, повторности] / в двукратном размере стоимости контрафактных товаров — [сумма] рублей].</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1252, 1484, 1515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