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лицензиар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лицензиат: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лицензионному вознаграждению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вознаграждения (роялти) по лицензионному договору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1235 и 1237 ГК РФ: лицензионный договор действует, право предоставлено, а лицензиат не уплатил вознаграждение (части 1 и 2 статьи 288 АПК РФ).</w:t>
      </w:r>
    </w:p>
    <w:p>
      <w:pPr>
        <w:spacing w:after="120" w:line="276" w:lineRule="auto"/>
        <w:ind w:firstLine="709"/>
        <w:jc w:val="both"/>
      </w:pPr>
      <w:r>
        <w:rPr>
          <w:rFonts w:ascii="Times New Roman" w:hAnsi="Times New Roman"/>
          <w:b/>
          <w:i w:val="0"/>
          <w:sz w:val="24"/>
        </w:rPr>
        <w:t>Лицензионный договор.</w:t>
      </w:r>
      <w:r>
        <w:rPr>
          <w:rFonts w:ascii="Times New Roman" w:hAnsi="Times New Roman"/>
          <w:b w:val="0"/>
          <w:i w:val="0"/>
          <w:sz w:val="24"/>
        </w:rPr>
        <w:t xml:space="preserve"> Пунктом 1 статьи 1235 ГК РФ установлено: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 Согласно пункту 5 той же статьи «По лицензионному договору лицензиат обязуется уплатить лицензиару обусловленное договором вознаграждение, если договором не предусмотрено иное.» «Выплата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pPr>
        <w:spacing w:after="120" w:line="276" w:lineRule="auto"/>
        <w:ind w:firstLine="709"/>
        <w:jc w:val="both"/>
      </w:pPr>
      <w:r>
        <w:rPr>
          <w:rFonts w:ascii="Times New Roman" w:hAnsi="Times New Roman"/>
          <w:b/>
          <w:i w:val="0"/>
          <w:sz w:val="24"/>
        </w:rPr>
        <w:t>Применение общих положений об обязательствах.</w:t>
      </w:r>
      <w:r>
        <w:rPr>
          <w:rFonts w:ascii="Times New Roman" w:hAnsi="Times New Roman"/>
          <w:b w:val="0"/>
          <w:i w:val="0"/>
          <w:sz w:val="24"/>
        </w:rPr>
        <w:t xml:space="preserve"> Пунктом 2 статьи 1233 ГК РФ предусмотрено: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(статьи 307 - 419) и о договоре (статьи 420 - 453), поскольку иное не установлено правилами настоящего раздела и не вытекает из содержания или характера исключительного права.»</w:t>
      </w:r>
    </w:p>
    <w:p>
      <w:pPr>
        <w:spacing w:after="120" w:line="276" w:lineRule="auto"/>
        <w:ind w:firstLine="709"/>
        <w:jc w:val="both"/>
      </w:pPr>
      <w:r>
        <w:rPr>
          <w:rFonts w:ascii="Times New Roman" w:hAnsi="Times New Roman"/>
          <w:b/>
          <w:i w:val="0"/>
          <w:sz w:val="24"/>
        </w:rPr>
        <w:t>Отчёты лицензиата.</w:t>
      </w:r>
      <w:r>
        <w:rPr>
          <w:rFonts w:ascii="Times New Roman" w:hAnsi="Times New Roman"/>
          <w:b w:val="0"/>
          <w:i w:val="0"/>
          <w:sz w:val="24"/>
        </w:rPr>
        <w:t xml:space="preserve"> Пунктом 1 статьи 1237 ГК РФ установлено: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 [При непредставлении отчётов размер роялти определяется по [данным открытых источников / бухгалтерской отчётности ответчика / минимальному платежу Договора].]</w:t>
      </w:r>
    </w:p>
    <w:p>
      <w:pPr>
        <w:spacing w:after="120" w:line="276" w:lineRule="auto"/>
        <w:ind w:firstLine="709"/>
        <w:jc w:val="both"/>
      </w:pPr>
      <w:r>
        <w:rPr>
          <w:rFonts w:ascii="Times New Roman" w:hAnsi="Times New Roman"/>
          <w:b/>
          <w:i w:val="0"/>
          <w:sz w:val="24"/>
        </w:rPr>
        <w:t>Надлежащее исполнение.</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[__] Договора установлена неустойка [0,1] % за каждый день просрочки.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[Для сведения суда:] Пунктом 4 статьи 1237 ГК РФ установлено: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pPr>
        <w:spacing w:after="120" w:line="276" w:lineRule="auto"/>
        <w:ind w:firstLine="709"/>
        <w:jc w:val="both"/>
      </w:pPr>
      <w:r>
        <w:rPr>
          <w:rFonts w:ascii="Times New Roman" w:hAnsi="Times New Roman"/>
          <w:b/>
          <w:i w:val="0"/>
          <w:sz w:val="24"/>
        </w:rPr>
        <w:t>Использование после прекращения лицензии.</w:t>
      </w:r>
      <w:r>
        <w:rPr>
          <w:rFonts w:ascii="Times New Roman" w:hAnsi="Times New Roman"/>
          <w:b w:val="0"/>
          <w:i w:val="0"/>
          <w:sz w:val="24"/>
        </w:rPr>
        <w:t xml:space="preserve"> [Если договор прекращён, а использование продолжается:] Пунктом 3 статьи 1237 ГК РФ предусмотрено: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1235, 1237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