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организация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распространитель сведений: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защите деловой репутации, признании сведений не соответствующими действительности и порочащими и их опровержении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сведений не соответствующими действительности и порочащими деловую репутацию и об их опровержении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152 ГК РФ: распространённые сведения являются утверждениями о фактах, которые можно проверить, а не оценочным мнением, и ответчик не доказал их соответствие действительности (части 1 и 2 статьи 288 АПК РФ).</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Отзыв документа.</w:t>
      </w:r>
      <w:r>
        <w:rPr>
          <w:rFonts w:ascii="Times New Roman" w:hAnsi="Times New Roman"/>
          <w:b w:val="0"/>
          <w:i w:val="0"/>
          <w:sz w:val="24"/>
        </w:rPr>
        <w:t xml:space="preserve"> [Если сведения содержатся в документе организации:] Пунктом 3 статьи 152 ГК РФ установлено: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Для удовлетворения иска необходимы: факт распространения сведений ответчиком, порочащий характер сведений и их несоответствие действительности. Бремя доказывания соответствия сведений действительности лежит на ответчике; истец доказывает факт распространения и порочащий характер. Порочащими являются утверждения о нарушении законодательства, недобросовестности в предпринимательской деятельности, нарушении деловой этики, которые умаляют деловую репутацию. Оценочные суждения и мнения, которые не могут быть проверены на соответствие действительности, предметом опровержения не являются.</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9 статьи 152 ГК РФ предусмотрено: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[Истец оставляет за собой право заявить убытки отдельно / заявляет их в настоящем иске.]</w:t>
      </w:r>
    </w:p>
    <w:p>
      <w:pPr>
        <w:spacing w:after="120" w:line="276" w:lineRule="auto"/>
        <w:ind w:firstLine="709"/>
        <w:jc w:val="both"/>
      </w:pPr>
      <w:r>
        <w:rPr>
          <w:rFonts w:ascii="Times New Roman" w:hAnsi="Times New Roman"/>
          <w:b/>
          <w:i w:val="0"/>
          <w:sz w:val="24"/>
        </w:rPr>
        <w:t>Исполнение решения.</w:t>
      </w:r>
      <w:r>
        <w:rPr>
          <w:rFonts w:ascii="Times New Roman" w:hAnsi="Times New Roman"/>
          <w:b w:val="0"/>
          <w:i w:val="0"/>
          <w:sz w:val="24"/>
        </w:rPr>
        <w:t xml:space="preserve"> Пунктом 7 статьи 152 ГК РФ установлено: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150, 152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