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патентообладатель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защите исключительного права на [изобретение / полезную модель], запрете производства и продажи продукции и взыскании компенсации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защите исключительного права на изобретение (полезную модель) и взыскании компенсации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1358 и 1406.1 ГК РФ: в продукте ответчика использован каждый признак независимого пункта формулы [или эквивалентный ему признак] (части 1 и 2 статьи 288 АПК РФ).</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Исключительное право патентообладателя.</w:t>
      </w:r>
      <w:r>
        <w:rPr>
          <w:rFonts w:ascii="Times New Roman" w:hAnsi="Times New Roman"/>
          <w:b w:val="0"/>
          <w:i w:val="0"/>
          <w:sz w:val="24"/>
        </w:rPr>
        <w:t xml:space="preserve"> Пунктом 1 статьи 1358 ГК РФ установлено: «Патентообладателю принадлежит исключительное право использования изобретения, полезной модели или промышленного образца в соответствии со статьей 1229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пунктом 2 настоящей статьи. Патентообладатель может распоряжаться исключительным правом на изобретение, полезную модель или промышленный образец.» Согласно подпункту 1 пункта 2 той же статьи использованием считается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pPr>
        <w:spacing w:after="120" w:line="276" w:lineRule="auto"/>
        <w:ind w:firstLine="709"/>
        <w:jc w:val="both"/>
      </w:pPr>
      <w:r>
        <w:rPr>
          <w:rFonts w:ascii="Times New Roman" w:hAnsi="Times New Roman"/>
          <w:b/>
          <w:i w:val="0"/>
          <w:sz w:val="24"/>
        </w:rPr>
        <w:t>Критерий использования.</w:t>
      </w:r>
      <w:r>
        <w:rPr>
          <w:rFonts w:ascii="Times New Roman" w:hAnsi="Times New Roman"/>
          <w:b w:val="0"/>
          <w:i w:val="0"/>
          <w:sz w:val="24"/>
        </w:rPr>
        <w:t xml:space="preserve"> Абзацем первым пункта 3 статьи 1358 ГК РФ установлено: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[Для полезной модели:] «Полезная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 Сопоставление признаков формулы с продукцией ответчика приведено в заключении: каждый признак независимого пункта [__] формулы присутствует в продукте ответчика.</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Статьёй 1406.1 ГК РФ предусмотрено: «В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по своему выбору от нарушителя вместо возмещения убытков выплаты компенсации:» «в размере от пятидесяти тысяч до десяти миллионов рублей»; «в размере двукратной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1252, 1358, 1406.1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