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Суд по интеллектуальным правам</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правообладатель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нарушитель: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защите исключительного права на программу для ЭВМ и взыскании компенсации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компенсации за нарушение исключительного права на программы для ЭВМ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ind w:firstLine="709"/>
        <w:jc w:val="both"/>
      </w:pPr>
      <w:r>
        <w:rPr>
          <w:rFonts w:ascii="Times New Roman" w:hAnsi="Times New Roman"/>
          <w:b/>
          <w:i w:val="0"/>
          <w:sz w:val="24"/>
        </w:rPr>
        <w:t>Суд кассационной инстанции.</w:t>
      </w:r>
      <w:r>
        <w:rPr>
          <w:rFonts w:ascii="Times New Roman" w:hAnsi="Times New Roman"/>
          <w:b w:val="0"/>
          <w:i w:val="0"/>
          <w:sz w:val="24"/>
        </w:rPr>
        <w:t xml:space="preserve"> Частью 3 статьи 274 АПК РФ установлено: «3. Суд по интеллектуальным правам в качестве суда кассационной инстанции рассматривает: 2) дела о защите интеллектуальных прав, рассмотренные арбитражными судами субъектов Российской Федерации в качестве суда первой инстанции, арбитражными апелляционными судами.» Настоящее дело — дело о защите интеллектуальных прав, поэтому кассационная жалоба адресуется Суду по интеллектуальным правам.</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[снизив компенсацию], суды неправильно применили статьи 1261, 1270 и 1301 ГК РФ: программы установлены и использовались ответчиком без лицензии, а компенсация в двукратном размере стоимости права рассчитана правильно (части 1 и 2 статьи 288 АПК РФ).</w:t>
      </w:r>
    </w:p>
    <w:p>
      <w:pPr>
        <w:spacing w:after="120" w:line="276" w:lineRule="auto"/>
        <w:ind w:firstLine="709"/>
        <w:jc w:val="both"/>
      </w:pPr>
      <w:r>
        <w:rPr>
          <w:rFonts w:ascii="Times New Roman" w:hAnsi="Times New Roman"/>
          <w:b/>
          <w:i w:val="0"/>
          <w:sz w:val="24"/>
        </w:rPr>
        <w:t>Программа для ЭВМ как объект авторского права.</w:t>
      </w:r>
      <w:r>
        <w:rPr>
          <w:rFonts w:ascii="Times New Roman" w:hAnsi="Times New Roman"/>
          <w:b w:val="0"/>
          <w:i w:val="0"/>
          <w:sz w:val="24"/>
        </w:rPr>
        <w:t xml:space="preserve"> Статьёй 1261 ГК РФ установлено: «Авторские права на все виды программ для ЭВМ (в том числе на операционные системы и программные комплексы), которые могут быть выражены на любом языке и в любой форме, включая исходный текст и объектный код, охраняются так же, как авторские права на произведения литературы. Программой для ЭВМ является представленная в объективной форме совокупность данных и команд, предназначенных для функционирования ЭВМ и других компьютерных устройств в целях получения определенного результата, включая подготовительные материалы, полученные в ходе разработки программы для ЭВМ, и порождаемые ею аудиовизуальные отображения.» Абзацем четырнадцатым пункта 1 статьи 1259 ГК РФ предусмотрено: «К объектам авторских прав также относятся программы для ЭВМ, которые охраняются как литературные произведения.»</w:t>
      </w:r>
    </w:p>
    <w:p>
      <w:pPr>
        <w:spacing w:after="120" w:line="276" w:lineRule="auto"/>
        <w:ind w:firstLine="709"/>
        <w:jc w:val="both"/>
      </w:pPr>
      <w:r>
        <w:rPr>
          <w:rFonts w:ascii="Times New Roman" w:hAnsi="Times New Roman"/>
          <w:b/>
          <w:i w:val="0"/>
          <w:sz w:val="24"/>
        </w:rPr>
        <w:t>Исключительное право.</w:t>
      </w:r>
      <w:r>
        <w:rPr>
          <w:rFonts w:ascii="Times New Roman" w:hAnsi="Times New Roman"/>
          <w:b w:val="0"/>
          <w:i w:val="0"/>
          <w:sz w:val="24"/>
        </w:rPr>
        <w:t xml:space="preserve"> Пунктом 1 статьи 1229 Гражданского кодекса Российской Федерации (далее — ГК РФ) установлено: «Гражданин или юридическое лицо, обладающие исключительным правом на результат интеллектуальной деятельности или на средство индивидуализации (правообладатель), вправе использовать такой результат или такое средство по своему усмотрению любым не противоречащим закону способом. Правообладатель может распоряжаться исключительным правом на результат интеллектуальной деятельности или на средство индивидуализации (статья 1233), если настоящим Кодексом не предусмотрено иное.» «Правообладатель может по своему усмотрению разрешать или запрещать другим лицам использование результата интеллектуальной деятельности или средства индивидуализации. Отсутствие запрета не считается согласием (разрешением).» «Другие лица не могут использовать соответствующие результат интеллектуальной деятельности или средство индивидуализации без согласия правообладателя, за исключением случаев, предусмотренных настоящим Кодексом. Использование результата интеллектуальной деятельности или средства индивидуализации (в том числе их использование способами, предусмотренными настоящим Кодексом), если такое использование осуществляется без согласия правообладателя, является незаконным и влечет ответственность, установленную настоящим Кодексом, другими законами, за исключением случаев, когда использование результата интеллектуальной деятельности или средства индивидуализации лицами иными, чем правообладатель, без его согласия допускается настоящим Кодексом.»</w:t>
      </w:r>
    </w:p>
    <w:p>
      <w:pPr>
        <w:spacing w:after="120" w:line="276" w:lineRule="auto"/>
        <w:ind w:firstLine="709"/>
        <w:jc w:val="both"/>
      </w:pPr>
      <w:r>
        <w:rPr>
          <w:rFonts w:ascii="Times New Roman" w:hAnsi="Times New Roman"/>
          <w:b/>
          <w:i w:val="0"/>
          <w:sz w:val="24"/>
        </w:rPr>
        <w:t>Использование программы.</w:t>
      </w:r>
      <w:r>
        <w:rPr>
          <w:rFonts w:ascii="Times New Roman" w:hAnsi="Times New Roman"/>
          <w:b w:val="0"/>
          <w:i w:val="0"/>
          <w:sz w:val="24"/>
        </w:rPr>
        <w:t xml:space="preserve"> Подпунктом 1 пункта 2 статьи 1270 ГК РФ установлено, что использованием считается «воспроизведение произведения, то есть изготовление одного и более экземпляра произведения или его части в любой материальной форме, в том числе в форме звуко- или видеозаписи, изготовление в трех измерениях одного и более экземпляра двухмерного произведения и в двух измерениях одного и более экземпляра трехмерного произведения. При этом запись произведения на электронном носителе, в том числе запись в память ЭВМ, также считается воспроизведением. Не считается воспроизведением краткосрочная запись произведения, которая носит временный или случайный характер и составляет неотъемлемую и существенную часть технологического процесса, имеющего единственной целью правомерное использование произведения либо осуществляемую информационным посредником между третьими лицами передачу произведения в информационно-телекоммуникационной сети, при условии, что такая запись не имеет самостоятельного экономического значения» Установка программы в память ЭВМ является её воспроизведением. [Модификация:] Подпунктом 9 той же статьи предусмотрено: «перевод или другая переработка произведения. При этом под переработкой произведения понимается создание производного произведения (обработки, экранизации, аранжировки, инсценировки и тому подобного). Под переработкой (модификацией) программы для ЭВМ или базы данных понимаются любые их изменения, в том числе перевод такой программы или такой базы данных с одного языка на другой язык, за исключением адаптации, то есть внесения изменений, осуществляемых исключительно в целях функционирования программы для ЭВМ или базы данных на конкретных технических средствах пользователя или под управлением конкретных программ пользователя»</w:t>
      </w:r>
    </w:p>
    <w:p>
      <w:pPr>
        <w:spacing w:after="120" w:line="276" w:lineRule="auto"/>
        <w:ind w:firstLine="709"/>
        <w:jc w:val="both"/>
      </w:pPr>
      <w:r>
        <w:rPr>
          <w:rFonts w:ascii="Times New Roman" w:hAnsi="Times New Roman"/>
          <w:b/>
          <w:i w:val="0"/>
          <w:sz w:val="24"/>
        </w:rPr>
        <w:t>Использование за пределами лицензии.</w:t>
      </w:r>
      <w:r>
        <w:rPr>
          <w:rFonts w:ascii="Times New Roman" w:hAnsi="Times New Roman"/>
          <w:b w:val="0"/>
          <w:i w:val="0"/>
          <w:sz w:val="24"/>
        </w:rPr>
        <w:t xml:space="preserve"> [Если была лицензия на меньшее количество мест:] Пунктом 3 статьи 1237 ГК РФ установлено: «Использование результата интеллектуальной деятельности или средства индивидуализации способом, не предусмотренным лицензионным договором, либо по прекращении действия такого договора, либо иным образом за пределами прав, предоставленных лицензиату по договору, влечет ответственность за нарушение исключительного права на результат интеллектуальной деятельности или на средство индивидуализации, установленную настоящим Кодексом, другими законами или договором.»</w:t>
      </w:r>
    </w:p>
    <w:p>
      <w:pPr>
        <w:spacing w:after="120" w:line="276" w:lineRule="auto"/>
        <w:ind w:firstLine="709"/>
        <w:jc w:val="both"/>
      </w:pPr>
      <w:r>
        <w:rPr>
          <w:rFonts w:ascii="Times New Roman" w:hAnsi="Times New Roman"/>
          <w:b/>
          <w:i w:val="0"/>
          <w:sz w:val="24"/>
        </w:rPr>
        <w:t>Способы защиты.</w:t>
      </w:r>
      <w:r>
        <w:rPr>
          <w:rFonts w:ascii="Times New Roman" w:hAnsi="Times New Roman"/>
          <w:b w:val="0"/>
          <w:i w:val="0"/>
          <w:sz w:val="24"/>
        </w:rPr>
        <w:t xml:space="preserve"> Пунктом 1 статьи 1252 ГК РФ установлено: «В случае нарушения исключительных прав на результаты интеллектуальной деятельности и на средства индивидуализации их защита осуществляется, в частности, путем предъявления в порядке, предусмотренном настоящим Кодексом, требования:» «о пресечении действий, нарушающих право или создающих угрозу его нарушения, - к лицу, совершающему такие действия или осуществляющему необходимые приготовления к ним, а также к иным лицам, которые могут пресечь такие действия»; «о возмещении убытков или в случаях, предусмотренных настоящим Кодексом, о выплате компенсации - к лицу, неправомерно использовавшему результат интеллектуальной деятельности или средство индивидуализации без заключения соглашения с правообладателем (бездоговорное использование) либо иным образом нарушившему его исключительное право и причинившему ему ущерб, в том числе нарушившему его право на вознаграждение, предусмотренное статьей 1245, пунктом 3 статьи 1263 и статьей 1326 настоящего Кодекса»; «об изъятии материального носителя в соответствии с пунктом 4 настоящей статьи - к его изготовителю, импортеру, хранителю, перевозчику, продавцу, иному распространителю, недобросовестному приобретателю»; «о публикации решения суда о допущенном нарушении с указанием действительного правообладателя - к нарушителю исключительного права.» Пунктом 1.1 той же статьи предусмотрено: «Нарушением исключительного права признается незаконное использование одного результата интеллектуальной деятельности или средства индивидуализации каким-либо одним способом.»</w:t>
      </w:r>
    </w:p>
    <w:p>
      <w:pPr>
        <w:spacing w:after="120" w:line="276" w:lineRule="auto"/>
        <w:ind w:firstLine="709"/>
        <w:jc w:val="both"/>
      </w:pPr>
      <w:r>
        <w:rPr>
          <w:rFonts w:ascii="Times New Roman" w:hAnsi="Times New Roman"/>
          <w:b/>
          <w:i w:val="0"/>
          <w:sz w:val="24"/>
        </w:rPr>
        <w:t>Компенсация.</w:t>
      </w:r>
      <w:r>
        <w:rPr>
          <w:rFonts w:ascii="Times New Roman" w:hAnsi="Times New Roman"/>
          <w:b w:val="0"/>
          <w:i w:val="0"/>
          <w:sz w:val="24"/>
        </w:rPr>
        <w:t xml:space="preserve"> Пунктом 1 статьи 1301 ГК РФ предусмотрено: «В случаях нарушения исключительного права на произведение автор или иной правообладатель наряду с использованием других применимых способов защиты и мер ответственности, установленных настоящим Кодексом (статьи 1250, 1252 и 1253), вправе в соответствии со статьей 1252.1 настоящего Кодекса требовать от нарушителя по своему выбору вместо возмещения убытков выплаты компенсации:» «в размере от десяти тысяч до десяти миллионов рублей»; «в размере двукратной стоимости контрафактных экземпляров произведения»; «в размере двукратной стоимости права использования произведения, определяемой исходя из цены, которая при сравнимых обстоятельствах обычно взимается за правомерное использование произведения тем способом, который использовал нарушитель.» Истец просит компенсацию в двукратном размере стоимости права использования: [__] экземпляров × [сумма] × 2 = [сумма] рублей.</w:t>
      </w:r>
    </w:p>
    <w:p>
      <w:pPr>
        <w:spacing w:after="120" w:line="276" w:lineRule="auto"/>
        <w:ind w:firstLine="709"/>
        <w:jc w:val="both"/>
      </w:pPr>
      <w:r>
        <w:rPr>
          <w:rFonts w:ascii="Times New Roman" w:hAnsi="Times New Roman"/>
          <w:b/>
          <w:i w:val="0"/>
          <w:sz w:val="24"/>
        </w:rPr>
        <w:t>Компенсация.</w:t>
      </w:r>
      <w:r>
        <w:rPr>
          <w:rFonts w:ascii="Times New Roman" w:hAnsi="Times New Roman"/>
          <w:b w:val="0"/>
          <w:i w:val="0"/>
          <w:sz w:val="24"/>
        </w:rPr>
        <w:t xml:space="preserve"> Пунктом 1 статьи 1252.1 ГК РФ установлено: «В случаях, предусмотренных настоящим Кодексом для отдельных видов результатов интеллектуальной деятельности или средств индивидуализации, при нарушении исключительного права правообладатель вправе вместо возмещения убытков требовать от нарушителя выплаты компенсации за нарушение указанного права. Компенсация подлежит взысканию при доказанности факта правонарушения. При этом правообладатель, обратившийся за защитой своего права, освобождается от доказывания размера причиненных ему убытков.» Согласно пункту 2 той же статьи «Компенсация может быть исчислена с помощью одного из следующих способов расчета, используемых по основаниям и в пределах, которые предусмотрены настоящим Кодексом для отдельных видов результатов интеллектуальной деятельности или средств индивидуализации с учетом их особенностей:» «назначение компенсации в твердом размере»; «назначение компенсации в размере, кратном стоимости контрафактных материальных носителей»; «назначение компенсации в размере, кратном стоимости права использования результата интеллектуальной деятельности или средства индивидуализации, определяемой исходя из цены, которая при сравнимых обстоятельствах обычно взимается за правомерное использование таких результата или средства тем способом, который использовал нарушитель.» «Размер компенсации определяется судом в зависимости от обстоятельств дела соразмерно объему и характеру нарушения, а также с учетом требований разумности и справедливости.»</w:t>
      </w:r>
    </w:p>
    <w:p>
      <w:pPr>
        <w:spacing w:after="120" w:line="276" w:lineRule="auto"/>
        <w:ind w:firstLine="709"/>
        <w:jc w:val="both"/>
      </w:pPr>
      <w:r>
        <w:rPr>
          <w:rFonts w:ascii="Times New Roman" w:hAnsi="Times New Roman"/>
          <w:b/>
          <w:i w:val="0"/>
          <w:sz w:val="24"/>
        </w:rPr>
        <w:t>Ответственность независимо от вины.</w:t>
      </w:r>
      <w:r>
        <w:rPr>
          <w:rFonts w:ascii="Times New Roman" w:hAnsi="Times New Roman"/>
          <w:b w:val="0"/>
          <w:i w:val="0"/>
          <w:sz w:val="24"/>
        </w:rPr>
        <w:t xml:space="preserve"> Абзацем третьим пункта 3 статьи 1250 ГК РФ установлено: «Если иное не установлено настоящим Кодексом, предусмотренные подпунктом 3 пункта 1 статьи 1252 и статьей 1252.1 настоящего Кодекса меры ответственности за нарушение интеллектуальных прав, допущенное нарушителем при осуществлении им предпринимательской деятельности, подлежат применению независимо от вины нарушителя, если такое лицо не докажет, что нарушение интеллектуальных прав произошло вследствие непреодолимой силы, то есть чрезвычайных и непредотвратимых при данных условиях обстоятельств.»</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1229, 1252, 1261, 1270, 1301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по интеллектуальным правам в кассации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