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Суд по интеллектуальным правам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организация-нарушитель: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обязании прекратить использование фирменного наименования, сходного до степени смешения, или изменить его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прекращении использования сходного фирменного наименования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кассационной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274 АПК РФ установлено: «3. Суд по интеллектуальным правам в качестве суда кассационной инстанции рассматривает: 2) дела о защите интеллектуальных прав, рассмотренные арбитражными судами субъектов Российской Федерации в качестве суда первой инстанции, арбитражными апелляционными судами.» Настоящее дело — дело о защите интеллектуальных прав, поэтому кассационная жалоба адресуется Суду по интеллектуальным правам.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1473 и 1474 ГК РФ: фирменное наименование ответчика тождественно или сходно до степени смешения с более ранним наименованием истца, а стороны ведут аналогичную деятельность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Фирменное наименование.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1473 ГК РФ установлено: «Юридическое лицо, являющееся коммерческой организацией, выступает в гражданском обороте под своим фирменным наименованием,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Исключительное право.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1474 ГК РФ предусмотрено: «Юридическому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"Интернет".»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тождественного и сходного наименования.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1474 ГК РФ установлено: «Не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ранее, чем фирменное наименование первого юридического лица.» Наименование истца включено в ЕГРЮЛ ранее; деятельность сторон аналогична.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нарушителя.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1474 ГК РФ предусмотрено: «Юридическое лицо, нарушившее правила пункта 3 настоящей статьи, по требованию правообладателя обязано по своему выбору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или изменить свое фирменное наименование, а также обязано возместить правообладателю причиненные убытки.»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Приоритет ранее возникшего права.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6 статьи 1252 ГК РФ установлено: «Если различные средства индивидуализации (фирменное наименование, товарный знак, знак обслуживания, коммерческое обозначение)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(или) контрагенты, преимущество имеет средство индивидуализации, исключительное право на которое возникло ранее, либо в случаях установления конвенционного или выставочного приоритета средство индивидуализации, которое имеет более ранний приоритет.»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Аналогичность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Определяется по фактически осуществляемой деятельности, а не только по кодам ОКВЭД: [описание совпадения видов деятельности, рынка и клиентов].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1252 ГК РФ установлено: «В случае нарушения исключительных прав на результаты интеллектуальной деятельности и на средства индивидуализации их защита осуществляется, в частности, путем предъявления в порядке, предусмотренном настоящим Кодексом, требования:» «о пресечении действий, нарушающих право или создающих угрозу его нарушения, - к лицу, совершающему такие действия или осуществляющему необходимые приготовления к ним, а также к иным лицам, которые могут пресечь такие действия»; «о возмещении убытков или в случаях, предусмотренных настоящим Кодексом, о выплате компенсации - к лицу, неправомерно использовавшему результат интеллектуальной деятельности или средство индивидуализации без заключения соглашения с правообладателем (бездоговорное использование) либо иным образом нарушившему его исключительное право и причинившему ему ущерб, в том числе нарушившему его право на вознаграждение, предусмотренное статьей 1245, пунктом 3 статьи 1263 и статьей 1326 настоящего Кодекса»; «об изъятии материального носителя в соответствии с пунктом 4 настоящей статьи - к его изготовителю, импортеру, хранителю, перевозчику, продавцу, иному распространителю, недобросовестному приобретателю»; «о публикации решения суда о допущенном нарушении с указанием действительного правообладателя - к нарушителю исключительного права.» Пунктом 1.1 той же статьи предусмотрено: «Нарушением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каким-либо одним способом.»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1473, 1474, 1475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по интеллектуальным правам в кассации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