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Суд по интеллектуальным правам</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правообладатель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нарушитель: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об обязании прекратить использование коммерческого обозначения и возмещении убытков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защите исключительного права на коммерческое обозначение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ind w:firstLine="709"/>
        <w:jc w:val="both"/>
      </w:pPr>
      <w:r>
        <w:rPr>
          <w:rFonts w:ascii="Times New Roman" w:hAnsi="Times New Roman"/>
          <w:b/>
          <w:i w:val="0"/>
          <w:sz w:val="24"/>
        </w:rPr>
        <w:t>Суд кассационной инстанции.</w:t>
      </w:r>
      <w:r>
        <w:rPr>
          <w:rFonts w:ascii="Times New Roman" w:hAnsi="Times New Roman"/>
          <w:b w:val="0"/>
          <w:i w:val="0"/>
          <w:sz w:val="24"/>
        </w:rPr>
        <w:t xml:space="preserve"> Частью 3 статьи 274 АПК РФ установлено: «3. Суд по интеллектуальным правам в качестве суда кассационной инстанции рассматривает: 2) дела о защите интеллектуальных прав, рассмотренные арбитражными судами субъектов Российской Федерации в качестве суда первой инстанции, арбитражными апелляционными судами.» Настоящее дело — дело о защите интеллектуальных прав, поэтому кассационная жалоба адресуется Суду по интеллектуальным правам.</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1538 и 1539 ГК РФ: обозначение обладает различительной способностью, известно в пределах территории, а ответчик использует сходное обозначение (части 1 и 2 статьи 288 АПК РФ).</w:t>
      </w:r>
    </w:p>
    <w:p>
      <w:pPr>
        <w:spacing w:after="120" w:line="276" w:lineRule="auto"/>
        <w:ind w:firstLine="709"/>
        <w:jc w:val="both"/>
      </w:pPr>
      <w:r>
        <w:rPr>
          <w:rFonts w:ascii="Times New Roman" w:hAnsi="Times New Roman"/>
          <w:b/>
          <w:i w:val="0"/>
          <w:sz w:val="24"/>
        </w:rPr>
        <w:t>Исключительное право на коммерческое обозначение.</w:t>
      </w:r>
      <w:r>
        <w:rPr>
          <w:rFonts w:ascii="Times New Roman" w:hAnsi="Times New Roman"/>
          <w:b w:val="0"/>
          <w:i w:val="0"/>
          <w:sz w:val="24"/>
        </w:rPr>
        <w:t xml:space="preserve"> Пунктом 1 статьи 1539 Гражданского кодекса Российской Федерации (далее — ГК РФ) установлено: «Правообладателю принадлежит исключительное право использования коммерческого обозначения в качестве средства индивидуализации принадлежащего ему предприятия любым не противоречащим закону способом (исключительное право на коммерческое обозначение), в том числе путем указания коммерческого обозначения на вывесках, бланках, в счетах и на иной документации, в объявлениях и рекламе, на товарах или их упаковках, в сети "Интернет", если такое обозначение обладает достаточными различительными признаками и его употребление правообладателем для индивидуализации своего предприятия является известным в пределах определенной территории.»</w:t>
      </w:r>
    </w:p>
    <w:p>
      <w:pPr>
        <w:spacing w:after="120" w:line="276" w:lineRule="auto"/>
        <w:ind w:firstLine="709"/>
        <w:jc w:val="both"/>
      </w:pPr>
      <w:r>
        <w:rPr>
          <w:rFonts w:ascii="Times New Roman" w:hAnsi="Times New Roman"/>
          <w:b/>
          <w:i w:val="0"/>
          <w:sz w:val="24"/>
        </w:rPr>
        <w:t>Различительная способность и известность.</w:t>
      </w:r>
      <w:r>
        <w:rPr>
          <w:rFonts w:ascii="Times New Roman" w:hAnsi="Times New Roman"/>
          <w:b w:val="0"/>
          <w:i w:val="0"/>
          <w:sz w:val="24"/>
        </w:rPr>
        <w:t xml:space="preserve"> Обозначение «[__]» обладает достаточными различительными признаками [оригинальное, не описательное] и известно в пределах территории [__] благодаря длительному (с «[дата]») и интенсивному использованию.</w:t>
      </w:r>
    </w:p>
    <w:p>
      <w:pPr>
        <w:spacing w:after="120" w:line="276" w:lineRule="auto"/>
        <w:ind w:firstLine="709"/>
        <w:jc w:val="both"/>
      </w:pPr>
      <w:r>
        <w:rPr>
          <w:rFonts w:ascii="Times New Roman" w:hAnsi="Times New Roman"/>
          <w:b/>
          <w:i w:val="0"/>
          <w:sz w:val="24"/>
        </w:rPr>
        <w:t>Запрет сходных обозначений.</w:t>
      </w:r>
      <w:r>
        <w:rPr>
          <w:rFonts w:ascii="Times New Roman" w:hAnsi="Times New Roman"/>
          <w:b w:val="0"/>
          <w:i w:val="0"/>
          <w:sz w:val="24"/>
        </w:rPr>
        <w:t xml:space="preserve"> Пунктом 2 статьи 1539 ГК РФ предусмотрено: «Не допускается использование коммерческого обозначения, способного ввести в заблуждение относительно принадлежности предприятия определенному лицу, в частности обозначения, сходного до степени смешения с фирменным наименованием, товарным знаком или защищенным исключительным правом коммерческим обозначением, принадлежащим другому лицу, у которого соответствующее исключительное право возникло ранее.» Право истца возникло ранее использования ответчиком.</w:t>
      </w:r>
    </w:p>
    <w:p>
      <w:pPr>
        <w:spacing w:after="120" w:line="276" w:lineRule="auto"/>
        <w:ind w:firstLine="709"/>
        <w:jc w:val="both"/>
      </w:pPr>
      <w:r>
        <w:rPr>
          <w:rFonts w:ascii="Times New Roman" w:hAnsi="Times New Roman"/>
          <w:b/>
          <w:i w:val="0"/>
          <w:sz w:val="24"/>
        </w:rPr>
        <w:t>Обязанность нарушителя.</w:t>
      </w:r>
      <w:r>
        <w:rPr>
          <w:rFonts w:ascii="Times New Roman" w:hAnsi="Times New Roman"/>
          <w:b w:val="0"/>
          <w:i w:val="0"/>
          <w:sz w:val="24"/>
        </w:rPr>
        <w:t xml:space="preserve"> Пунктом 3 статьи 1539 ГК РФ установлено: «Лицо, нарушившее правила пункта 2 настоящей статьи, обязано по требованию правообладателя прекратить использование коммерческого обозначения и возместить правообладателю причиненные убытки.»</w:t>
      </w:r>
    </w:p>
    <w:p>
      <w:pPr>
        <w:spacing w:after="120" w:line="276" w:lineRule="auto"/>
        <w:ind w:firstLine="709"/>
        <w:jc w:val="both"/>
      </w:pPr>
      <w:r>
        <w:rPr>
          <w:rFonts w:ascii="Times New Roman" w:hAnsi="Times New Roman"/>
          <w:b/>
          <w:i w:val="0"/>
          <w:sz w:val="24"/>
        </w:rPr>
        <w:t>Приоритет ранее возникшего права.</w:t>
      </w:r>
      <w:r>
        <w:rPr>
          <w:rFonts w:ascii="Times New Roman" w:hAnsi="Times New Roman"/>
          <w:b w:val="0"/>
          <w:i w:val="0"/>
          <w:sz w:val="24"/>
        </w:rPr>
        <w:t xml:space="preserve"> Абзацем первым пункта 6 статьи 1252 ГК РФ установлено: «Если различные средства индивидуализации (фирменное наименование, товарный знак, знак обслуживания, коммерческое обозначение) оказываются тождественными или сходными до степени смешения и в результате такого тождества или сходства могут быть введены в заблуждение потребители и (или) контрагенты, преимущество имеет средство индивидуализации, исключительное право на которое возникло ранее, либо в случаях установления конвенционного или выставочного приоритета средство индивидуализации, которое имеет более ранний приоритет.» Абзацем четвёртым того же пункта предусмотрено, что под частичным запретом использования понимается «в отношении коммерческого обозначения запрет его использования в пределах определенной территории и (или) в определенных видах деятельности.»</w:t>
      </w:r>
    </w:p>
    <w:p>
      <w:pPr>
        <w:spacing w:after="120" w:line="276" w:lineRule="auto"/>
        <w:ind w:firstLine="709"/>
        <w:jc w:val="both"/>
      </w:pPr>
      <w:r>
        <w:rPr>
          <w:rFonts w:ascii="Times New Roman" w:hAnsi="Times New Roman"/>
          <w:b/>
          <w:i w:val="0"/>
          <w:sz w:val="24"/>
        </w:rPr>
        <w:t>Способы защиты.</w:t>
      </w:r>
      <w:r>
        <w:rPr>
          <w:rFonts w:ascii="Times New Roman" w:hAnsi="Times New Roman"/>
          <w:b w:val="0"/>
          <w:i w:val="0"/>
          <w:sz w:val="24"/>
        </w:rPr>
        <w:t xml:space="preserve"> Пунктом 1 статьи 1252 ГК РФ установлено: «В случае нарушения исключительных прав на результаты интеллектуальной деятельности и на средства индивидуализации их защита осуществляется, в частности, путем предъявления в порядке, предусмотренном настоящим Кодексом, требования:» «о пресечении действий, нарушающих право или создающих угрозу его нарушения, - к лицу, совершающему такие действия или осуществляющему необходимые приготовления к ним, а также к иным лицам, которые могут пресечь такие действия»; «о возмещении убытков или в случаях, предусмотренных настоящим Кодексом, о выплате компенсации - к лицу, неправомерно использовавшему результат интеллектуальной деятельности или средство индивидуализации без заключения соглашения с правообладателем (бездоговорное использование) либо иным образом нарушившему его исключительное право и причинившему ему ущерб, в том числе нарушившему его право на вознаграждение, предусмотренное статьей 1245, пунктом 3 статьи 1263 и статьей 1326 настоящего Кодекса»; «об изъятии материального носителя в соответствии с пунктом 4 настоящей статьи - к его изготовителю, импортеру, хранителю, перевозчику, продавцу, иному распространителю, недобросовестному приобретателю»; «о публикации решения суда о допущенном нарушении с указанием действительного правообладателя - к нарушителю исключительного права.» Пунктом 1.1 той же статьи предусмотрено: «Нарушением исключительного права признается незаконное использование одного результата интеллектуальной деятельности или средства индивидуализации каким-либо одним способом.»</w:t>
      </w:r>
    </w:p>
    <w:p>
      <w:pPr>
        <w:spacing w:after="120" w:line="276" w:lineRule="auto"/>
        <w:ind w:firstLine="709"/>
        <w:jc w:val="both"/>
      </w:pPr>
      <w:r>
        <w:rPr>
          <w:rFonts w:ascii="Times New Roman" w:hAnsi="Times New Roman"/>
          <w:b/>
          <w:i w:val="0"/>
          <w:sz w:val="24"/>
        </w:rPr>
        <w:t>Исключительное право.</w:t>
      </w:r>
      <w:r>
        <w:rPr>
          <w:rFonts w:ascii="Times New Roman" w:hAnsi="Times New Roman"/>
          <w:b w:val="0"/>
          <w:i w:val="0"/>
          <w:sz w:val="24"/>
        </w:rPr>
        <w:t xml:space="preserve"> Пунктом 1 статьи 1229 Гражданского кодекса Российской Федерации (далее — ГК РФ) установлено: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Правообладатель может распоряжаться исключительным правом на результат интеллектуальной деятельности или на средство индивидуализации (статья 1233), если настоящим Кодексом не предусмотрено иное.» «Правообладатель может по своему усмотрению разрешать или запрещать другим лицам использование результата интеллектуальной деятельности или средства индивидуализации. Отсутствие запрета не считается согласием (разрешением).» «Другие лица не могут использовать соответствующие результат интеллектуальной деятельности или средство индивидуализации без согласия правообладателя, за исключением случаев, предусмотренных настоящим Кодексом. Использование результата интеллектуальной деятельности или средства индивидуализации (в том числе их использование способами, предусмотренными настоящим Кодексом), если такое использование осуществляется без согласия правообладателя, является незаконным и влечет ответственность, установленную настоящим Кодексом, другими законами,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настоящим Кодексом.»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1538, 1539, 1540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по интеллектуальным правам в кассации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