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залогодержатель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залогодатель: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об обращении взыскания на заложенное недвижимое имущество</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об обращении взыскания на заложенное недвижимое имущество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статьи 348 и 349 ГК РФ и статью 54.1 Закона об ипотеке: просрочка систематическая, сумма неисполненного обязательства превышает пять процентов стоимости предмета залога (части 1 и 2 статьи 288 АПК РФ).</w:t>
      </w:r>
    </w:p>
    <w:p>
      <w:pPr>
        <w:spacing w:after="120" w:line="276" w:lineRule="auto"/>
        <w:ind w:firstLine="709"/>
        <w:jc w:val="both"/>
      </w:pPr>
      <w:r>
        <w:rPr>
          <w:rFonts w:ascii="Times New Roman" w:hAnsi="Times New Roman"/>
          <w:b/>
          <w:i w:val="0"/>
          <w:sz w:val="24"/>
        </w:rPr>
        <w:t>Понятие залога.</w:t>
      </w:r>
      <w:r>
        <w:rPr>
          <w:rFonts w:ascii="Times New Roman" w:hAnsi="Times New Roman"/>
          <w:b w:val="0"/>
          <w:i w:val="0"/>
          <w:sz w:val="24"/>
        </w:rPr>
        <w:t xml:space="preserve"> Пунктом 1 статьи 334 Гражданского кодекса Российской Федерации (далее — ГК РФ) установлено: «В силу залога кредитор по обеспеченному залогом обязательству (залогодержатель) имеет право в случае неисполнения или ненадлежащего исполнения должником этого обязательства получить удовлетворение из стоимости заложенного имущества (предмета залога) преимущественно перед другими кредиторами лица, которому принадлежит заложенное имущество (залогодателя).» Согласно абзацу второму пункта 4 той же статьи «К залогу недвижимого имущества (ипотеке) применяются правила настоящего Кодекса о вещных правах, а в части, не урегулированной указанными правилами и законом об ипотеке, общие положения о залоге.»</w:t>
      </w:r>
    </w:p>
    <w:p>
      <w:pPr>
        <w:spacing w:after="120" w:line="276" w:lineRule="auto"/>
        <w:ind w:firstLine="709"/>
        <w:jc w:val="both"/>
      </w:pPr>
      <w:r>
        <w:rPr>
          <w:rFonts w:ascii="Times New Roman" w:hAnsi="Times New Roman"/>
          <w:b/>
          <w:i w:val="0"/>
          <w:sz w:val="24"/>
        </w:rPr>
        <w:t>Основания обращения взыскания.</w:t>
      </w:r>
      <w:r>
        <w:rPr>
          <w:rFonts w:ascii="Times New Roman" w:hAnsi="Times New Roman"/>
          <w:b w:val="0"/>
          <w:i w:val="0"/>
          <w:sz w:val="24"/>
        </w:rPr>
        <w:t xml:space="preserve"> Пунктом 1 статьи 348 ГК РФ установлено: «Взыскание на заложенное имущество для удовлетворения требований залогодержателя может быть обращено в случае неисполнения или ненадлежащего исполнения должником обеспеченного залогом обязательства.» Пунктом 2 той же статьи предусмотрено: «Обращение взыскания на заложенное имущество не допускается, если допущенное должником нарушение обеспеченного залогом обязательства незначительно и размер требований залогодержателя вследствие этого явно несоразмерен стоимости заложенного имущества. Если не доказано иное, предполагается, что нарушение обеспеченного залогом обязательства незначительно и размер требований залогодержателя явно несоразмерен стоимости заложенного имущества при условии, что одновременно соблюдены следующие условия:» «сумма неисполненного обязательства составляет менее чем пять процентов от размера стоимости заложенного имущества»; «период просрочки исполнения обязательства, обеспеченного залогом, составляет менее чем три месяца.» Нарушение не является незначительным: долг составляет [__] % стоимости предмета залога, просрочка — более трёх месяцев. [Пунктом 3 статьи 348 ГК РФ: «Если договором залога не предусмотрено иное, обращение взыскания на имущество, заложенное для обеспечения обязательства, исполняемого периодическими платежами, допускается при систематическом нарушении сроков их внесения, то есть при нарушении сроков внесения платежей более чем три раза в течение двенадцати месяцев, предшествующих дате обращения в суд или дате направления уведомления об обращении взыскания на заложенное имущество во внесудебном порядке, даже при условии, что каждая просрочка незначительна.»]</w:t>
      </w:r>
    </w:p>
    <w:p>
      <w:pPr>
        <w:spacing w:after="120" w:line="276" w:lineRule="auto"/>
        <w:ind w:firstLine="709"/>
        <w:jc w:val="both"/>
      </w:pPr>
      <w:r>
        <w:rPr>
          <w:rFonts w:ascii="Times New Roman" w:hAnsi="Times New Roman"/>
          <w:b/>
          <w:i w:val="0"/>
          <w:sz w:val="24"/>
        </w:rPr>
        <w:t>Ипотека.</w:t>
      </w:r>
      <w:r>
        <w:rPr>
          <w:rFonts w:ascii="Times New Roman" w:hAnsi="Times New Roman"/>
          <w:b w:val="0"/>
          <w:i w:val="0"/>
          <w:sz w:val="24"/>
        </w:rPr>
        <w:t xml:space="preserve"> Пунктом 1 статьи 50 Федерального закона от 16.07.1998 № 102-ФЗ «Об ипотеке (залоге недвижимости)» (далее — Закон об ипотеке) установлено: «Залогодержатель вправе обратить взыскание на имущество, заложенное по договору об ипотеке, для удовлетворения за счет этого имущества названных в статьях 3 и 4 настоящего Федерального закона требований, вызванных неисполнением или ненадлежащим исполнением обеспеченного ипотекой обязательства, в частности неуплатой или несвоевременной уплатой суммы долга полностью или в части, если договором не предусмотрено иное.» Статьёй 51 Закона об ипотеке предусмотрено: «Взыскание по требованиям залогодержателя обращается на имущество, заложенное по договору об ипотеке, по решению суда, за исключением случаев, когда в соответствии со статьей 55 настоящего Федерального закона допускается удовлетворение таких требований без обращения в суд.»</w:t>
      </w:r>
    </w:p>
    <w:p>
      <w:pPr>
        <w:spacing w:after="120" w:line="276" w:lineRule="auto"/>
        <w:ind w:firstLine="709"/>
        <w:jc w:val="both"/>
      </w:pPr>
      <w:r>
        <w:rPr>
          <w:rFonts w:ascii="Times New Roman" w:hAnsi="Times New Roman"/>
          <w:b/>
          <w:i w:val="0"/>
          <w:sz w:val="24"/>
        </w:rPr>
        <w:t>Порядок обращения взыскания.</w:t>
      </w:r>
      <w:r>
        <w:rPr>
          <w:rFonts w:ascii="Times New Roman" w:hAnsi="Times New Roman"/>
          <w:b w:val="0"/>
          <w:i w:val="0"/>
          <w:sz w:val="24"/>
        </w:rPr>
        <w:t xml:space="preserve"> Пунктом 1 статьи 349 ГК РФ установлено: «Обращение взыскания на заложенное имущество осуществляется по решению суда, если соглашением залогодателя и залогодержателя не предусмотрен внесудебный порядок обращения взыскания на заложенное имущество.» Согласно пункту 1 статьи 350 ГК РФ «Реализация заложенного имущества, на которое взыскание обращено на основании решения суда, осуществляется путем продажи с публичных торгов в порядке, установленном настоящим Кодексом и процессуальным законодательством, если законом или соглашением между залогодержателем и залогодателем не установлено, что реализация предмета залога осуществляется в порядке, установленном абзацами вторым и третьим пункта 2 статьи 350.1 настоящего Кодекса.»</w:t>
      </w:r>
    </w:p>
    <w:p>
      <w:pPr>
        <w:spacing w:after="120" w:line="276" w:lineRule="auto"/>
        <w:ind w:firstLine="709"/>
        <w:jc w:val="both"/>
      </w:pPr>
      <w:r>
        <w:rPr>
          <w:rFonts w:ascii="Times New Roman" w:hAnsi="Times New Roman"/>
          <w:b/>
          <w:i w:val="0"/>
          <w:sz w:val="24"/>
        </w:rPr>
        <w:t>Содержание решения.</w:t>
      </w:r>
      <w:r>
        <w:rPr>
          <w:rFonts w:ascii="Times New Roman" w:hAnsi="Times New Roman"/>
          <w:b w:val="0"/>
          <w:i w:val="0"/>
          <w:sz w:val="24"/>
        </w:rPr>
        <w:t xml:space="preserve"> Пунктом 2 статьи 54 Закона об ипотеке установлено, что суд должен определить и указать в решении, в частности, «способ и порядок реализации заложенного имущества, на которое обращается взыскание. Если стороны заключили соглашение, устанавливающее порядок реализации предмета ипотеки, суд определяет способ реализации заложенного имущества в соответствии с условиями такого соглашения (пункт 1.1 статьи 9 настоящего Федерального закона)» [подпункт 4:] «начальную продажную цену заложенного имущества при его реализации. Начальная продажная цена имущества на публичных торгах определяется на основе соглашения между залогодателем и залогодержателем, достигнутого в ходе рассмотрения дела в суде, а в случае спора - самим судом. Если начальная продажная цена заложенного имущества определяется на основании отчета оценщика, она устанавливается равной восьмидесяти процентам рыночной стоимости такого имущества, определенной в отчете оценщика. Особенности определения начальной продажной цены заложенного имущества устанавливаются пунктом 9 статьи 77.1 настоящего Федерального закона» Рыночная стоимость предмета ипотеки по отчёту оценщика от «[дата]» № [__] — [сумма] рублей; начальная продажная цена — 80 % этой стоимости, [сумма] рублей.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334, 348, 349, 350 ГК РФ, Федеральным законом «Об ипотеке (залоге недвижимости)»,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