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сведений порочащими, их удалении из сети «Интернет», опровержении и компенсации морального вреда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сведений порочащими, их удалении из сети «Интернет», опровержении и компенсации морального вреда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пункт 5 статьи 152 ГК РФ: порочащие сведения, ставшие доступными в интернете, подлежат удалению, а распространитель не доказал их соответствие действительности (части 1 и 2 статьи 379.7 ГПК РФ).</w:t>
      </w:r>
    </w:p>
    <w:p>
      <w:pPr>
        <w:spacing w:after="120" w:line="276" w:lineRule="auto"/>
        <w:ind w:firstLine="709"/>
        <w:jc w:val="both"/>
      </w:pPr>
      <w:r>
        <w:rPr>
          <w:rFonts w:ascii="Times New Roman" w:hAnsi="Times New Roman"/>
          <w:b/>
          <w:i w:val="0"/>
          <w:sz w:val="24"/>
        </w:rPr>
        <w:t>Нематериальные блага.</w:t>
      </w:r>
      <w:r>
        <w:rPr>
          <w:rFonts w:ascii="Times New Roman" w:hAnsi="Times New Roman"/>
          <w:b w:val="0"/>
          <w:i w:val="0"/>
          <w:sz w:val="24"/>
        </w:rPr>
        <w:t xml:space="preserve"> Пунктом 1 статьи 150 ГК РФ установлено: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Абзацем вторым пункта 2: «В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pPr>
        <w:spacing w:after="120" w:line="276" w:lineRule="auto"/>
        <w:ind w:firstLine="709"/>
        <w:jc w:val="both"/>
      </w:pPr>
      <w:r>
        <w:rPr>
          <w:rFonts w:ascii="Times New Roman" w:hAnsi="Times New Roman"/>
          <w:b/>
          <w:i w:val="0"/>
          <w:sz w:val="24"/>
        </w:rPr>
        <w:t>Удаление сведений из интернета.</w:t>
      </w:r>
      <w:r>
        <w:rPr>
          <w:rFonts w:ascii="Times New Roman" w:hAnsi="Times New Roman"/>
          <w:b w:val="0"/>
          <w:i w:val="0"/>
          <w:sz w:val="24"/>
        </w:rPr>
        <w:t xml:space="preserve"> Пунктом 5 статьи 152 ГК РФ установлено: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 Пунктом 1: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Пунктом 4: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распространения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pPr>
        <w:spacing w:after="120" w:line="276" w:lineRule="auto"/>
        <w:ind w:firstLine="709"/>
        <w:jc w:val="both"/>
      </w:pPr>
      <w:r>
        <w:rPr>
          <w:rFonts w:ascii="Times New Roman" w:hAnsi="Times New Roman"/>
          <w:b/>
          <w:i w:val="0"/>
          <w:sz w:val="24"/>
        </w:rPr>
        <w:t>Деловая репутация.</w:t>
      </w:r>
      <w:r>
        <w:rPr>
          <w:rFonts w:ascii="Times New Roman" w:hAnsi="Times New Roman"/>
          <w:b w:val="0"/>
          <w:i w:val="0"/>
          <w:sz w:val="24"/>
        </w:rPr>
        <w:t xml:space="preserve"> Сведения, порочащие профессиональную деятельность гражданина, умаляют его деловую репутацию. Статьёй 150 ГК РФ деловая репутация отнесена к нематериальным благам.</w:t>
      </w:r>
    </w:p>
    <w:p>
      <w:pPr>
        <w:spacing w:after="120" w:line="276" w:lineRule="auto"/>
        <w:ind w:firstLine="709"/>
        <w:jc w:val="both"/>
      </w:pPr>
      <w:r>
        <w:rPr>
          <w:rFonts w:ascii="Times New Roman" w:hAnsi="Times New Roman"/>
          <w:b/>
          <w:i w:val="0"/>
          <w:sz w:val="24"/>
        </w:rPr>
        <w:t>Предмет доказывания.</w:t>
      </w:r>
      <w:r>
        <w:rPr>
          <w:rFonts w:ascii="Times New Roman" w:hAnsi="Times New Roman"/>
          <w:b w:val="0"/>
          <w:i w:val="0"/>
          <w:sz w:val="24"/>
        </w:rPr>
        <w:t xml:space="preserve"> Согласно пункту 7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обстоятельствами, имеющими значение для дела, являются: факт распространения ответчиком сведений об истце, порочащий характер этих сведений и несоответствие их действительности. Порочащими являются сведения, содержащие утверждения о нарушении гражданином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Распространением признаётся, в частности, опубликование в печати, трансляция по радио и телевидению, размещение в сети «Интернет»,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w:t>
      </w:r>
    </w:p>
    <w:p>
      <w:pPr>
        <w:spacing w:after="120" w:line="276" w:lineRule="auto"/>
        <w:ind w:firstLine="709"/>
        <w:jc w:val="both"/>
      </w:pPr>
      <w:r>
        <w:rPr>
          <w:rFonts w:ascii="Times New Roman" w:hAnsi="Times New Roman"/>
          <w:b/>
          <w:i w:val="0"/>
          <w:sz w:val="24"/>
        </w:rPr>
        <w:t>Ответственность владельца сайта.</w:t>
      </w:r>
      <w:r>
        <w:rPr>
          <w:rFonts w:ascii="Times New Roman" w:hAnsi="Times New Roman"/>
          <w:b w:val="0"/>
          <w:i w:val="0"/>
          <w:sz w:val="24"/>
        </w:rPr>
        <w:t xml:space="preserve"> Владелец сайта, на котором размещены сведения, привлекается к участию в деле как лицо, технически способное исполнить решение об удалении информации; обязанность удалить информацию может быть возложена на него независимо от его вины в распространении.</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Пунктом 9 статьи 152 ГК РФ: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Упущенная выгода истца — [сумма] рублей (договоры, от которых отказались клиенты, сравнение выручки).</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Пунктом 9 статьи 152 ГК РФ: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Статьёй 1100 ГК РФ компенсация морального вреда осуществляется независимо от вины причинителя, когда «вред причинен распространением сведений, порочащих честь, достоинство и деловую репутацию»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Статьёй 208 ГК РФ исковая давность не распространяется на «требования о защите личных неимущественных прав и других нематериальных благ, кроме случаев, предусмотренных законом» [Исключение — сведения в СМИ: абзацем вторым пункта 10 статьи 152 ГК РФ установлен годичный срок: «Правила пунктов 1 - 9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pPr>
        <w:spacing w:after="120" w:line="276" w:lineRule="auto"/>
        <w:ind w:firstLine="709"/>
        <w:jc w:val="both"/>
      </w:pPr>
      <w:r>
        <w:rPr>
          <w:rFonts w:ascii="Times New Roman" w:hAnsi="Times New Roman"/>
          <w:b/>
          <w:i w:val="0"/>
          <w:sz w:val="24"/>
        </w:rPr>
        <w:t>Лингвистическая экспертиза.</w:t>
      </w:r>
      <w:r>
        <w:rPr>
          <w:rFonts w:ascii="Times New Roman" w:hAnsi="Times New Roman"/>
          <w:b w:val="0"/>
          <w:i w:val="0"/>
          <w:sz w:val="24"/>
        </w:rPr>
        <w:t xml:space="preserve"> Для определения, являются ли высказывания утверждениями о фактах или оценочным мнением и носят ли они порочащий характер, требуются специальные знания; истец ходатайствует о назначении судебной лингвистической экспертизы (ч. 1 ст.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pPr>
        <w:spacing w:after="120" w:line="276" w:lineRule="auto"/>
        <w:ind w:firstLine="709"/>
        <w:jc w:val="both"/>
      </w:pPr>
      <w:r>
        <w:rPr>
          <w:rFonts w:ascii="Times New Roman" w:hAnsi="Times New Roman"/>
          <w:b/>
          <w:i w:val="0"/>
          <w:sz w:val="24"/>
        </w:rPr>
        <w:t>Обеспечение иска.</w:t>
      </w:r>
      <w:r>
        <w:rPr>
          <w:rFonts w:ascii="Times New Roman" w:hAnsi="Times New Roman"/>
          <w:b w:val="0"/>
          <w:i w:val="0"/>
          <w:sz w:val="24"/>
        </w:rPr>
        <w:t xml:space="preserve"> Истец просит запретить ответчикам до вступления решения в законную силу размещать указанные сведения в сети «Интернет» (п. 2 ч. 1 ст. 140 ГПК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151, 152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