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организация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администратор сайта (автор публикации):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сведений, размещённых в сети «Интернет», не соответствующими действительности и порочащими и об их удалении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признании сведений, размещённых в сети «Интернет», не соответствующими действительности и порочащими деловую репутацию, об их удалении и опровержении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пункты 1 и 5 статьи 152 ГК РФ: сведения размещены на интернет-ресурсе, порочат истца, а владелец сайта обязан их удалить (части 1 и 2 статьи 288 АПК РФ).</w:t>
      </w:r>
    </w:p>
    <w:p>
      <w:pPr>
        <w:spacing w:after="120" w:line="276" w:lineRule="auto"/>
        <w:ind w:firstLine="709"/>
        <w:jc w:val="both"/>
      </w:pPr>
      <w:r>
        <w:rPr>
          <w:rFonts w:ascii="Times New Roman" w:hAnsi="Times New Roman"/>
          <w:b/>
          <w:i w:val="0"/>
          <w:sz w:val="24"/>
        </w:rPr>
        <w:t>Подведомственность.</w:t>
      </w:r>
      <w:r>
        <w:rPr>
          <w:rFonts w:ascii="Times New Roman" w:hAnsi="Times New Roman"/>
          <w:b w:val="0"/>
          <w:i w:val="0"/>
          <w:sz w:val="24"/>
        </w:rPr>
        <w:t xml:space="preserve"> Частью 6 статьи 27 АПК РФ установлено: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 арбитражные суды рассматривают дела:» «о защите деловой репутации в сфере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Деловая репутация.</w:t>
      </w:r>
      <w:r>
        <w:rPr>
          <w:rFonts w:ascii="Times New Roman" w:hAnsi="Times New Roman"/>
          <w:b w:val="0"/>
          <w:i w:val="0"/>
          <w:sz w:val="24"/>
        </w:rPr>
        <w:t xml:space="preserve"> Пунктом 1 статьи 150 Гражданского кодекса Российской Федерации (далее — ГК РФ) установлено: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Пунктом 11 статьи 152 ГК РФ предусмотрено: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pPr>
        <w:spacing w:after="120" w:line="276" w:lineRule="auto"/>
        <w:ind w:firstLine="709"/>
        <w:jc w:val="both"/>
      </w:pPr>
      <w:r>
        <w:rPr>
          <w:rFonts w:ascii="Times New Roman" w:hAnsi="Times New Roman"/>
          <w:b/>
          <w:i w:val="0"/>
          <w:sz w:val="24"/>
        </w:rPr>
        <w:t>Удаление сведений из интернета.</w:t>
      </w:r>
      <w:r>
        <w:rPr>
          <w:rFonts w:ascii="Times New Roman" w:hAnsi="Times New Roman"/>
          <w:b w:val="0"/>
          <w:i w:val="0"/>
          <w:sz w:val="24"/>
        </w:rPr>
        <w:t xml:space="preserve"> Пунктом 5 статьи 152 ГК РФ установлено: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 Пунктом 4 той же статьи предусмотрено: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распространения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pPr>
        <w:spacing w:after="120" w:line="276" w:lineRule="auto"/>
        <w:ind w:firstLine="709"/>
        <w:jc w:val="both"/>
      </w:pPr>
      <w:r>
        <w:rPr>
          <w:rFonts w:ascii="Times New Roman" w:hAnsi="Times New Roman"/>
          <w:b/>
          <w:i w:val="0"/>
          <w:sz w:val="24"/>
        </w:rPr>
        <w:t>Опровержение.</w:t>
      </w:r>
      <w:r>
        <w:rPr>
          <w:rFonts w:ascii="Times New Roman" w:hAnsi="Times New Roman"/>
          <w:b w:val="0"/>
          <w:i w:val="0"/>
          <w:sz w:val="24"/>
        </w:rPr>
        <w:t xml:space="preserve"> Пунктом 1 статьи 152 ГК РФ установлено: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pPr>
        <w:spacing w:after="120" w:line="276" w:lineRule="auto"/>
        <w:ind w:firstLine="709"/>
        <w:jc w:val="both"/>
      </w:pPr>
      <w:r>
        <w:rPr>
          <w:rFonts w:ascii="Times New Roman" w:hAnsi="Times New Roman"/>
          <w:b/>
          <w:i w:val="0"/>
          <w:sz w:val="24"/>
        </w:rPr>
        <w:t>Недостоверные сведения, не являющиеся порочащими.</w:t>
      </w:r>
      <w:r>
        <w:rPr>
          <w:rFonts w:ascii="Times New Roman" w:hAnsi="Times New Roman"/>
          <w:b w:val="0"/>
          <w:i w:val="0"/>
          <w:sz w:val="24"/>
        </w:rPr>
        <w:t xml:space="preserve"> Пунктом 10 статьи 152 ГК РФ установлено: «Правила пунктов 1 - 9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pPr>
        <w:spacing w:after="120" w:line="276" w:lineRule="auto"/>
        <w:ind w:firstLine="709"/>
        <w:jc w:val="both"/>
      </w:pPr>
      <w:r>
        <w:rPr>
          <w:rFonts w:ascii="Times New Roman" w:hAnsi="Times New Roman"/>
          <w:b/>
          <w:i w:val="0"/>
          <w:sz w:val="24"/>
        </w:rPr>
        <w:t>Предмет доказывания.</w:t>
      </w:r>
      <w:r>
        <w:rPr>
          <w:rFonts w:ascii="Times New Roman" w:hAnsi="Times New Roman"/>
          <w:b w:val="0"/>
          <w:i w:val="0"/>
          <w:sz w:val="24"/>
        </w:rPr>
        <w:t xml:space="preserve"> Для удовлетворения иска необходимы: факт распространения сведений ответчиком, порочащий характер сведений и их несоответствие действительности. Бремя доказывания соответствия сведений действительности лежит на ответчике; истец доказывает факт распространения и порочащий характер. Порочащими являются утверждения о нарушении законодательства, недобросовестности в предпринимательской деятельности, нарушении деловой этики, которые умаляют деловую репутацию. Оценочные суждения и мнения, которые не могут быть проверены на соответствие действительности, предметом опровержения не являются.</w:t>
      </w:r>
    </w:p>
    <w:p>
      <w:pPr>
        <w:spacing w:after="120" w:line="276" w:lineRule="auto"/>
        <w:ind w:firstLine="709"/>
        <w:jc w:val="both"/>
      </w:pPr>
      <w:r>
        <w:rPr>
          <w:rFonts w:ascii="Times New Roman" w:hAnsi="Times New Roman"/>
          <w:b/>
          <w:i w:val="0"/>
          <w:sz w:val="24"/>
        </w:rPr>
        <w:t>Отзывы как форма распространения.</w:t>
      </w:r>
      <w:r>
        <w:rPr>
          <w:rFonts w:ascii="Times New Roman" w:hAnsi="Times New Roman"/>
          <w:b w:val="0"/>
          <w:i w:val="0"/>
          <w:sz w:val="24"/>
        </w:rPr>
        <w:t xml:space="preserve"> Отзыв, содержащий утверждения о фактах (например, «организация не возвращает деньги», «продаёт подделки»), а не только эмоциональную оценку, подлежит проверке на соответствие действительности. Право потребителя на свободное выражение мнения не распространяется на распространение ложных фактов.</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150, 152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