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задолженности по договору займа и обращении взыскания на заложенное имущество</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задолженности по договору займа и обращении взыскания на заложенное имущество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обращении взыскания, суды неправильно применили статьи 334, 348 и 349 ГК РФ: нарушение обеспеченного залогом обязательства не является незначительным, а залог действует и в отношении нового приобретателя (части 1 и 2 статьи 379.7 ГПК РФ).</w:t>
      </w:r>
    </w:p>
    <w:p>
      <w:pPr>
        <w:spacing w:after="120" w:line="276" w:lineRule="auto"/>
        <w:ind w:firstLine="709"/>
        <w:jc w:val="both"/>
      </w:pPr>
      <w:r>
        <w:rPr>
          <w:rFonts w:ascii="Times New Roman" w:hAnsi="Times New Roman"/>
          <w:b/>
          <w:i w:val="0"/>
          <w:sz w:val="24"/>
        </w:rPr>
        <w:t>Долг по займу.</w:t>
      </w:r>
      <w:r>
        <w:rPr>
          <w:rFonts w:ascii="Times New Roman" w:hAnsi="Times New Roman"/>
          <w:b w:val="0"/>
          <w:i w:val="0"/>
          <w:sz w:val="24"/>
        </w:rPr>
        <w:t xml:space="preserve"> Согласно абзацу первому пункта 1 статьи 807 Гражданского кодекса Российской Федерации (далее — ГК РФ)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Пунктом 1 статьи 810 ГК РФ установлено: «Заемщик обязан возвратить займодавцу полученную сумму займа в срок и в порядке, которые предусмотрены договором займа.» [Если заём возвращается по частям:] В силу пункта 2 статьи 811 ГК РФ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w:t>
      </w:r>
    </w:p>
    <w:p>
      <w:pPr>
        <w:spacing w:after="120" w:line="276" w:lineRule="auto"/>
        <w:ind w:firstLine="709"/>
        <w:jc w:val="both"/>
      </w:pPr>
      <w:r>
        <w:rPr>
          <w:rFonts w:ascii="Times New Roman" w:hAnsi="Times New Roman"/>
          <w:b/>
          <w:i w:val="0"/>
          <w:sz w:val="24"/>
        </w:rPr>
        <w:t>Право залогодержателя.</w:t>
      </w:r>
      <w:r>
        <w:rPr>
          <w:rFonts w:ascii="Times New Roman" w:hAnsi="Times New Roman"/>
          <w:b w:val="0"/>
          <w:i w:val="0"/>
          <w:sz w:val="24"/>
        </w:rPr>
        <w:t xml:space="preserve"> Пунктом 1 статьи 334 ГК РФ определено: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 Статьёй 337 ГК РФ предусмотрено: «Если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pPr>
        <w:spacing w:after="120" w:line="276" w:lineRule="auto"/>
        <w:ind w:firstLine="709"/>
        <w:jc w:val="both"/>
      </w:pPr>
      <w:r>
        <w:rPr>
          <w:rFonts w:ascii="Times New Roman" w:hAnsi="Times New Roman"/>
          <w:b/>
          <w:i w:val="0"/>
          <w:sz w:val="24"/>
        </w:rPr>
        <w:t>Основания для обращения взыскания имеются.</w:t>
      </w:r>
      <w:r>
        <w:rPr>
          <w:rFonts w:ascii="Times New Roman" w:hAnsi="Times New Roman"/>
          <w:b w:val="0"/>
          <w:i w:val="0"/>
          <w:sz w:val="24"/>
        </w:rPr>
        <w:t xml:space="preserve"> Согласно пункту 1 статьи 348 ГК РФ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 Пунктом 2 той же статьи установлено: «2.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 1) сумма неисполненного обязательства составляет менее чем пять процентов от размера стоимости заложенного имущества; 2) период просрочки исполнения обязательства, обеспеченного залогом, составляет менее чем три месяца.» В рассматриваемом случае сумма неисполненного обязательства составляет [__] % стоимости предмета залога, а период просрочки — [__] месяцев, то есть оба условия, при которых обращение взыскания недопустимо, отсутствуют. [Если заём возвращается периодическими платежами:]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pPr>
        <w:spacing w:after="120" w:line="276" w:lineRule="auto"/>
        <w:ind w:firstLine="709"/>
        <w:jc w:val="both"/>
      </w:pPr>
      <w:r>
        <w:rPr>
          <w:rFonts w:ascii="Times New Roman" w:hAnsi="Times New Roman"/>
          <w:b/>
          <w:i w:val="0"/>
          <w:sz w:val="24"/>
        </w:rPr>
        <w:t>Порядок обращения взыскания и реализации.</w:t>
      </w:r>
      <w:r>
        <w:rPr>
          <w:rFonts w:ascii="Times New Roman" w:hAnsi="Times New Roman"/>
          <w:b w:val="0"/>
          <w:i w:val="0"/>
          <w:sz w:val="24"/>
        </w:rPr>
        <w:t xml:space="preserve"> Пунктом 1 статьи 349 ГК РФ предусмотрено: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 Внесудебный порядок обращения взыскания соглашением сторон [не предусмотрен / предусмотрен, но истец избирает судебный порядок]. Согласно пункту 1 статьи 350 ГК РФ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законодательством,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абзацами вторым и третьим пункта 2 статьи 350.1 настоящего Кодекса.»</w:t>
      </w:r>
    </w:p>
    <w:p>
      <w:pPr>
        <w:spacing w:after="120" w:line="276" w:lineRule="auto"/>
        <w:ind w:firstLine="709"/>
        <w:jc w:val="both"/>
      </w:pPr>
      <w:r>
        <w:rPr>
          <w:rFonts w:ascii="Times New Roman" w:hAnsi="Times New Roman"/>
          <w:b/>
          <w:i w:val="0"/>
          <w:sz w:val="24"/>
        </w:rPr>
        <w:t>Залог действует в отношении третьих лиц.</w:t>
      </w:r>
      <w:r>
        <w:rPr>
          <w:rFonts w:ascii="Times New Roman" w:hAnsi="Times New Roman"/>
          <w:b w:val="0"/>
          <w:i w:val="0"/>
          <w:sz w:val="24"/>
        </w:rPr>
        <w:t xml:space="preserve"> Абзацем третьим пункта 4 статьи 339.1 ГК РФ установлено: «Залогодержатель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 Уведомление о залоге зарегистрировано до [возможного] отчуждения имущества, поэтому залог сохраняет силу и при переходе права собственности.</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334, 348, 349, 352, 807, 810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