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поставщик (подрядчик, исполнитель)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государственный (муниципальный)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стоимости работ, выполненных до расторжения государственного (муниципального) контракта</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стоимости работ, выполненных до расторжения государственного (муниципального) контракта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717 и 1102 ГК РФ: работы выполнены до расторжения, имеют для заказчика потребительскую ценность и подлежат оплате (части 1 и 2 статьи 288 АПК РФ).</w:t>
      </w:r>
    </w:p>
    <w:p>
      <w:pPr>
        <w:spacing w:after="120" w:line="276" w:lineRule="auto"/>
        <w:ind w:firstLine="709"/>
        <w:jc w:val="both"/>
      </w:pPr>
      <w:r>
        <w:rPr>
          <w:rFonts w:ascii="Times New Roman" w:hAnsi="Times New Roman"/>
          <w:b/>
          <w:i w:val="0"/>
          <w:sz w:val="24"/>
        </w:rPr>
        <w:t>Государственный (муниципальный) контракт.</w:t>
      </w:r>
      <w:r>
        <w:rPr>
          <w:rFonts w:ascii="Times New Roman" w:hAnsi="Times New Roman"/>
          <w:b w:val="0"/>
          <w:i w:val="0"/>
          <w:sz w:val="24"/>
        </w:rPr>
        <w:t xml:space="preserve"> [Для поставки:] Статьёй 526 Гражданского кодекса Российской Федерации (далее — ГК РФ) установлено: «По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 [Для подряда:] Пунктом 2 статьи 763 ГК РФ предусмотрено: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Согласно части 1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частью 24 статьи 22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w:t>
      </w:r>
    </w:p>
    <w:p>
      <w:pPr>
        <w:spacing w:after="120" w:line="276" w:lineRule="auto"/>
        <w:ind w:firstLine="709"/>
        <w:jc w:val="both"/>
      </w:pPr>
      <w:r>
        <w:rPr>
          <w:rFonts w:ascii="Times New Roman" w:hAnsi="Times New Roman"/>
          <w:b/>
          <w:i w:val="0"/>
          <w:sz w:val="24"/>
        </w:rPr>
        <w:t>Расторжение контракта.</w:t>
      </w:r>
      <w:r>
        <w:rPr>
          <w:rFonts w:ascii="Times New Roman" w:hAnsi="Times New Roman"/>
          <w:b w:val="0"/>
          <w:i w:val="0"/>
          <w:sz w:val="24"/>
        </w:rPr>
        <w:t xml:space="preserve"> Частью 8 статьи 95 Закона № 44-ФЗ установлено: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pPr>
        <w:spacing w:after="120" w:line="276" w:lineRule="auto"/>
        <w:ind w:firstLine="709"/>
        <w:jc w:val="both"/>
      </w:pPr>
      <w:r>
        <w:rPr>
          <w:rFonts w:ascii="Times New Roman" w:hAnsi="Times New Roman"/>
          <w:b/>
          <w:i w:val="0"/>
          <w:sz w:val="24"/>
        </w:rPr>
        <w:t>Последствия расторжения.</w:t>
      </w:r>
      <w:r>
        <w:rPr>
          <w:rFonts w:ascii="Times New Roman" w:hAnsi="Times New Roman"/>
          <w:b w:val="0"/>
          <w:i w:val="0"/>
          <w:sz w:val="24"/>
        </w:rPr>
        <w:t xml:space="preserve"> Пунктом 2 статьи 453 ГК РФ предусмотрено: «При расторжении договора обязательства сторон прекращаются, если иное не предусмотрено законом, договором или не вытекает из существа обязательства.» Абзацем вторым пункта 4 той же статьи установлено: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Прекращение Контракта не освобождает заказчика от оплаты работ, выполненных до расторжения и имеющих для него потребительскую ценность.</w:t>
      </w:r>
    </w:p>
    <w:p>
      <w:pPr>
        <w:spacing w:after="120" w:line="276" w:lineRule="auto"/>
        <w:ind w:firstLine="709"/>
        <w:jc w:val="both"/>
      </w:pPr>
      <w:r>
        <w:rPr>
          <w:rFonts w:ascii="Times New Roman" w:hAnsi="Times New Roman"/>
          <w:b/>
          <w:i w:val="0"/>
          <w:sz w:val="24"/>
        </w:rPr>
        <w:t>Результат незавершённой работы.</w:t>
      </w:r>
      <w:r>
        <w:rPr>
          <w:rFonts w:ascii="Times New Roman" w:hAnsi="Times New Roman"/>
          <w:b w:val="0"/>
          <w:i w:val="0"/>
          <w:sz w:val="24"/>
        </w:rPr>
        <w:t xml:space="preserve"> Статьёй 729 ГК РФ установлено: «В случае прекращения договора подряда по основаниям, предусмотренным законом или договором, до приемки заказчиком результата работы, выполненной подрядчиком (пункт 1 статьи 720), заказчик вправе требовать передачи ему результата незавершенной работы с компенсацией подрядчику произведенных затрат.» Заказчик получил результат незавершённой работы и обязан компенсировать затраты истца.</w:t>
      </w:r>
    </w:p>
    <w:p>
      <w:pPr>
        <w:spacing w:after="120" w:line="276" w:lineRule="auto"/>
        <w:ind w:firstLine="709"/>
        <w:jc w:val="both"/>
      </w:pPr>
      <w:r>
        <w:rPr>
          <w:rFonts w:ascii="Times New Roman" w:hAnsi="Times New Roman"/>
          <w:b/>
          <w:i w:val="0"/>
          <w:sz w:val="24"/>
        </w:rPr>
        <w:t>Приёмка.</w:t>
      </w:r>
      <w:r>
        <w:rPr>
          <w:rFonts w:ascii="Times New Roman" w:hAnsi="Times New Roman"/>
          <w:b w:val="0"/>
          <w:i w:val="0"/>
          <w:sz w:val="24"/>
        </w:rPr>
        <w:t xml:space="preserve"> Пунктом 4 статьи 753 ГК РФ установлено: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w:t>
      </w:r>
    </w:p>
    <w:p>
      <w:pPr>
        <w:spacing w:after="120" w:line="276" w:lineRule="auto"/>
        <w:ind w:firstLine="709"/>
        <w:jc w:val="both"/>
      </w:pPr>
      <w:r>
        <w:rPr>
          <w:rFonts w:ascii="Times New Roman" w:hAnsi="Times New Roman"/>
          <w:b/>
          <w:i w:val="0"/>
          <w:sz w:val="24"/>
        </w:rPr>
        <w:t>Неосновательное обогащение (альтернативно).</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Согласно пункту 1 статьи 1105 ГК РФ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711, 717, 1102 ГК РФ, статьёй 95 Федерального закона № 44-ФЗ,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