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подрядчик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стоимости выполненных строительных работ, оформленных односторонним актом,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стоимости выполненных строительных работ, оформленных односторонним актом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пункт 4 статьи 753 ГК РФ: заказчик не заявил мотивированного отказа от подписания акта, поэтому односторонний акт имеет силу и работы подлежат оплате (части 1 и 2 статьи 288 АПК РФ).</w:t>
      </w:r>
    </w:p>
    <w:p>
      <w:pPr>
        <w:spacing w:after="120" w:line="276" w:lineRule="auto"/>
        <w:ind w:firstLine="709"/>
        <w:jc w:val="both"/>
      </w:pPr>
      <w:r>
        <w:rPr>
          <w:rFonts w:ascii="Times New Roman" w:hAnsi="Times New Roman"/>
          <w:b/>
          <w:i w:val="0"/>
          <w:sz w:val="24"/>
        </w:rPr>
        <w:t>Договор строительного подряда.</w:t>
      </w:r>
      <w:r>
        <w:rPr>
          <w:rFonts w:ascii="Times New Roman" w:hAnsi="Times New Roman"/>
          <w:b w:val="0"/>
          <w:i w:val="0"/>
          <w:sz w:val="24"/>
        </w:rPr>
        <w:t xml:space="preserve"> Пунктом 1 статьи 740 ГК РФ установлено: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 Согласно пункту 2 статьи 702 ГК РФ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Приёмка работ.</w:t>
      </w:r>
      <w:r>
        <w:rPr>
          <w:rFonts w:ascii="Times New Roman" w:hAnsi="Times New Roman"/>
          <w:b w:val="0"/>
          <w:i w:val="0"/>
          <w:sz w:val="24"/>
        </w:rPr>
        <w:t xml:space="preserve"> Согласно пункту 1 статьи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Пунктом 1 статьи 753 ГК РФ предусмотрено: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 В силу пункта 4 той же статьи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pPr>
        <w:spacing w:after="120" w:line="276" w:lineRule="auto"/>
        <w:ind w:firstLine="709"/>
        <w:jc w:val="both"/>
      </w:pPr>
      <w:r>
        <w:rPr>
          <w:rFonts w:ascii="Times New Roman" w:hAnsi="Times New Roman"/>
          <w:b w:val="0"/>
          <w:i w:val="0"/>
          <w:sz w:val="24"/>
        </w:rPr>
        <w:t>Ответчик не заявил мотивированных возражений и не указал недостатков, которые исключали бы использование результата работ. Пунктом 6 статьи 753 ГК РФ определено, когда заказчик вправе не принимать работы: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 Таких недостатков нет, а результат работ фактически используется ответчиком. Поэтому односторонний акт является надлежащим доказательством выполнения работ и возникновения обязанности по их оплате.</w:t>
      </w:r>
    </w:p>
    <w:p>
      <w:pPr>
        <w:spacing w:after="120" w:line="276" w:lineRule="auto"/>
        <w:ind w:firstLine="709"/>
        <w:jc w:val="both"/>
      </w:pPr>
      <w:r>
        <w:rPr>
          <w:rFonts w:ascii="Times New Roman" w:hAnsi="Times New Roman"/>
          <w:b/>
          <w:i w:val="0"/>
          <w:sz w:val="24"/>
        </w:rPr>
        <w:t>Уклонение от приёмки.</w:t>
      </w:r>
      <w:r>
        <w:rPr>
          <w:rFonts w:ascii="Times New Roman" w:hAnsi="Times New Roman"/>
          <w:b w:val="0"/>
          <w:i w:val="0"/>
          <w:sz w:val="24"/>
        </w:rPr>
        <w:t xml:space="preserve"> Согласно пункту 1 статьи 406 ГК РФ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Заказчик, не организовавший приёмку, не вправе ссылаться на отсутствие подписанного им акта.</w:t>
      </w:r>
    </w:p>
    <w:p>
      <w:pPr>
        <w:spacing w:after="120" w:line="276" w:lineRule="auto"/>
        <w:ind w:firstLine="709"/>
        <w:jc w:val="both"/>
      </w:pPr>
      <w:r>
        <w:rPr>
          <w:rFonts w:ascii="Times New Roman" w:hAnsi="Times New Roman"/>
          <w:b/>
          <w:i w:val="0"/>
          <w:sz w:val="24"/>
        </w:rPr>
        <w:t>Обязанность оплатить работы.</w:t>
      </w:r>
      <w:r>
        <w:rPr>
          <w:rFonts w:ascii="Times New Roman" w:hAnsi="Times New Roman"/>
          <w:b w:val="0"/>
          <w:i w:val="0"/>
          <w:sz w:val="24"/>
        </w:rPr>
        <w:t xml:space="preserve"> Пунктом 1 статьи 711 ГК РФ предусмотрено: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Для строительного подряда пунктом 1 статьи 746 ГК РФ установлено: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статьей 711 настоящего Кодекса.»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Проценты [неустойка] за просрочку оплаты.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Срок оплаты наступил «[дата]» — по истечении срока на подписание акта и срока оплаты. Проценты за период с «[дата]» по «[дата]» составляют [сумма] рублей. [Если Договором предусмотрена неустойка — заявляется неустойка вместо процентов.]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711, 720, 746, 753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