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работник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работодатель: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(ст. 393 ТК РФ, подп. 1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оплаты сверхурочной работы, компенсации за задержку выплаты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оплаты сверхурочной работы, компенсации за задержку выплаты и морального вреда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99 и 152 ТК РФ: сверхурочная работа выполнялась по распоряжению работодателя, а обязанность вести учёт рабочего времени лежит на нём (части 1 и 2 статьи 379.7 ГПК РФ).</w:t>
      </w:r>
    </w:p>
    <w:p>
      <w:pPr>
        <w:spacing w:after="120" w:line="276" w:lineRule="auto"/>
        <w:ind w:firstLine="709"/>
        <w:jc w:val="both"/>
      </w:pPr>
      <w:r>
        <w:rPr>
          <w:rFonts w:ascii="Times New Roman" w:hAnsi="Times New Roman"/>
          <w:b/>
          <w:i w:val="0"/>
          <w:sz w:val="24"/>
        </w:rPr>
        <w:t>Понятие сверхурочной работы.</w:t>
      </w:r>
      <w:r>
        <w:rPr>
          <w:rFonts w:ascii="Times New Roman" w:hAnsi="Times New Roman"/>
          <w:b w:val="0"/>
          <w:i w:val="0"/>
          <w:sz w:val="24"/>
        </w:rPr>
        <w:t xml:space="preserve"> Частью 1 статьи 99 ТК РФ установлено: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Частью 6 той же статьи: «Продолжительность сверхурочной работы не должна превышать для каждого работника 4 часов в день и 120 часов в год, за исключением случаев, предусмотренных настоящим Кодексом. Продолжительность сверхурочной работы для каждого работника может быть увеличена до 240 часов в год, если это предусмотрено коллективным договором и (или) отраслевым (межотраслевым) соглашением, распространяющимся на данного работодателя.» Частью 7: «Работодатель обязан обеспечить точный учет продолжительности сверхурочной работы каждого работника.»</w:t>
      </w:r>
    </w:p>
    <w:p>
      <w:pPr>
        <w:spacing w:after="120" w:line="276" w:lineRule="auto"/>
        <w:ind w:firstLine="709"/>
        <w:jc w:val="both"/>
      </w:pPr>
      <w:r>
        <w:rPr>
          <w:rFonts w:ascii="Times New Roman" w:hAnsi="Times New Roman"/>
          <w:b/>
          <w:i w:val="0"/>
          <w:sz w:val="24"/>
        </w:rPr>
        <w:t>Оплата.</w:t>
      </w:r>
      <w:r>
        <w:rPr>
          <w:rFonts w:ascii="Times New Roman" w:hAnsi="Times New Roman"/>
          <w:b w:val="0"/>
          <w:i w:val="0"/>
          <w:sz w:val="24"/>
        </w:rPr>
        <w:t xml:space="preserve"> Частью 1 статьи 152 ТК РФ предусмотрено: «Сверхурочная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 период выполнения сверхурочной работы, включая компенсационные и стимулирующие выплаты, в пределах 120 часов в год за первые два часа работы не менее чем в полуторном размере, за последующие часы - не менее чем в двойном размере, начиная со 121-го часа - не менее чем в двойном размере за каждый час. При суммированном учете рабочего времени сверхурочная работа оплачивается исходя из величины сверхурочного времени, приходящегося на день (смену), в который (которую) осуществляется сверхурочная работа: за первые два часа работы - не менее чем в полуторном размере, за последующие часы - не менее чем в двойном размере, начиная со 121-го часа - не менее чем в двойном размере за каждый час, если иное не предусмотрено настоящим Кодексом. Конкретные размеры оплаты сверхурочной работы могут определяться коллективным договором и (или) отраслевым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настоящим Кодексом.»</w:t>
      </w:r>
    </w:p>
    <w:p>
      <w:pPr>
        <w:spacing w:after="120" w:line="276" w:lineRule="auto"/>
        <w:ind w:firstLine="709"/>
        <w:jc w:val="both"/>
      </w:pPr>
      <w:r>
        <w:rPr>
          <w:rFonts w:ascii="Times New Roman" w:hAnsi="Times New Roman"/>
          <w:b w:val="0"/>
          <w:i w:val="0"/>
          <w:sz w:val="24"/>
        </w:rPr>
        <w:t>Таким образом, первые два часа сверхурочной работы подлежали оплате не менее чем в полуторном размере, последующие — не менее чем в двойном. Расчёт: [__ часов × 1,5 × часовая ставка + __ часов × 2 × часовая ставка] − [выплачено] = [сумма] рублей.</w:t>
      </w:r>
    </w:p>
    <w:p>
      <w:pPr>
        <w:spacing w:after="120" w:line="276" w:lineRule="auto"/>
        <w:ind w:firstLine="709"/>
        <w:jc w:val="both"/>
      </w:pPr>
      <w:r>
        <w:rPr>
          <w:rFonts w:ascii="Times New Roman" w:hAnsi="Times New Roman"/>
          <w:b/>
          <w:i w:val="0"/>
          <w:sz w:val="24"/>
        </w:rPr>
        <w:t>Право на своевременную оплату труда.</w:t>
      </w:r>
      <w:r>
        <w:rPr>
          <w:rFonts w:ascii="Times New Roman" w:hAnsi="Times New Roman"/>
          <w:b w:val="0"/>
          <w:i w:val="0"/>
          <w:sz w:val="24"/>
        </w:rPr>
        <w:t xml:space="preserve"> Абзацем пятым части 1 статьи 21 ТК РФ работнику гарантировано право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Абзацем седьмым части 2 статьи 22 ТК РФ на работодателя возложена обязанность «выплачивать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w:t>
      </w:r>
    </w:p>
    <w:p>
      <w:pPr>
        <w:spacing w:after="120" w:line="276" w:lineRule="auto"/>
        <w:ind w:firstLine="709"/>
        <w:jc w:val="both"/>
      </w:pPr>
      <w:r>
        <w:rPr>
          <w:rFonts w:ascii="Times New Roman" w:hAnsi="Times New Roman"/>
          <w:b/>
          <w:i w:val="0"/>
          <w:sz w:val="24"/>
        </w:rPr>
        <w:t>Учёт рабочего времени — обязанность работодателя.</w:t>
      </w:r>
      <w:r>
        <w:rPr>
          <w:rFonts w:ascii="Times New Roman" w:hAnsi="Times New Roman"/>
          <w:b w:val="0"/>
          <w:i w:val="0"/>
          <w:sz w:val="24"/>
        </w:rPr>
        <w:t xml:space="preserve"> Работодатель обязан вести точный учёт сверхурочной работы каждого работника (ч. 7 ст. 99 ТК РФ). Если работодатель не представит табели и иные документы учёта, суд оценивает доказательства истца. В силу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spacing w:after="120" w:line="276" w:lineRule="auto"/>
        <w:ind w:firstLine="709"/>
        <w:jc w:val="both"/>
      </w:pPr>
      <w:r>
        <w:rPr>
          <w:rFonts w:ascii="Times New Roman" w:hAnsi="Times New Roman"/>
          <w:b/>
          <w:i w:val="0"/>
          <w:sz w:val="24"/>
        </w:rPr>
        <w:t>Денежная компенсация за задержку.</w:t>
      </w:r>
      <w:r>
        <w:rPr>
          <w:rFonts w:ascii="Times New Roman" w:hAnsi="Times New Roman"/>
          <w:b w:val="0"/>
          <w:i w:val="0"/>
          <w:sz w:val="24"/>
        </w:rPr>
        <w:t xml:space="preserve"> Частью 1 статьи 236 ТК РФ установлено: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Частью 2 той же статьи: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 За период с «[дата]» по «[дата]» компенсация составляет [сумма] рублей (расчёт прилагается) и подлежит начислению по день фактической выплаты.</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работником не уплачивается. Статьёй 393 Трудового кодекса Российской Федерации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Подпунктом 1 пункта 1 статьи 333.36 Налогового кодекса Российской Федерации от уплаты пошлины освобождены: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91, 99, 152, 236, 237 ТК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