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давностный владелец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титульный собственник [орган, управляющий публичным имуществом]: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права собственности в силу приобретательной давности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права собственности в силу приобретательной давности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234 ГК РФ: истец добросовестно, открыто и непрерывно владеет имуществом как своим более восемнадцати лет [с учётом срока исковой давности] (части 1 и 2 статьи 288 АПК РФ).</w:t>
      </w:r>
    </w:p>
    <w:p>
      <w:pPr>
        <w:spacing w:after="120" w:line="276" w:lineRule="auto"/>
        <w:ind w:firstLine="709"/>
        <w:jc w:val="both"/>
      </w:pPr>
      <w:r>
        <w:rPr>
          <w:rFonts w:ascii="Times New Roman" w:hAnsi="Times New Roman"/>
          <w:b/>
          <w:i w:val="0"/>
          <w:sz w:val="24"/>
        </w:rPr>
        <w:t>Приобретательная давность.</w:t>
      </w:r>
      <w:r>
        <w:rPr>
          <w:rFonts w:ascii="Times New Roman" w:hAnsi="Times New Roman"/>
          <w:b w:val="0"/>
          <w:i w:val="0"/>
          <w:sz w:val="24"/>
        </w:rPr>
        <w:t xml:space="preserve"> Пунктом 1 статьи 234 Гражданского кодекса Российской Федерации (далее — ГК РФ) установлено: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 «Право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pPr>
        <w:spacing w:after="120" w:line="276" w:lineRule="auto"/>
        <w:ind w:firstLine="709"/>
        <w:jc w:val="both"/>
      </w:pPr>
      <w:r>
        <w:rPr>
          <w:rFonts w:ascii="Times New Roman" w:hAnsi="Times New Roman"/>
          <w:b/>
          <w:i w:val="0"/>
          <w:sz w:val="24"/>
        </w:rPr>
        <w:t>Присоединение срока владения правопредшественника.</w:t>
      </w:r>
      <w:r>
        <w:rPr>
          <w:rFonts w:ascii="Times New Roman" w:hAnsi="Times New Roman"/>
          <w:b w:val="0"/>
          <w:i w:val="0"/>
          <w:sz w:val="24"/>
        </w:rPr>
        <w:t xml:space="preserve"> Пунктом 3 статьи 234 ГК РФ предусмотрено: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 Истец является правопреемником [наименование] (выписка из ЕГРЮЛ), который владел объектом с «[дата]».</w:t>
      </w:r>
    </w:p>
    <w:p>
      <w:pPr>
        <w:spacing w:after="120" w:line="276" w:lineRule="auto"/>
        <w:ind w:firstLine="709"/>
        <w:jc w:val="both"/>
      </w:pPr>
      <w:r>
        <w:rPr>
          <w:rFonts w:ascii="Times New Roman" w:hAnsi="Times New Roman"/>
          <w:b/>
          <w:i w:val="0"/>
          <w:sz w:val="24"/>
        </w:rPr>
        <w:t>Начало течения срока.</w:t>
      </w:r>
      <w:r>
        <w:rPr>
          <w:rFonts w:ascii="Times New Roman" w:hAnsi="Times New Roman"/>
          <w:b w:val="0"/>
          <w:i w:val="0"/>
          <w:sz w:val="24"/>
        </w:rPr>
        <w:t xml:space="preserve"> Пунктом 4 статьи 234 ГК РФ установлено: «Течение срока приобретательной давности в отношении вещей, находящихся у лица, из владения которого они могли быть истребованы в соответствии со статьями 301 и 305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 Срок давностного владения (пятнадцать лет) истёк «[дата]» с учётом трёхлетнего срока исковой давности для истребования.</w:t>
      </w:r>
    </w:p>
    <w:p>
      <w:pPr>
        <w:spacing w:after="120" w:line="276" w:lineRule="auto"/>
        <w:ind w:firstLine="709"/>
        <w:jc w:val="both"/>
      </w:pPr>
      <w:r>
        <w:rPr>
          <w:rFonts w:ascii="Times New Roman" w:hAnsi="Times New Roman"/>
          <w:b/>
          <w:i w:val="0"/>
          <w:sz w:val="24"/>
        </w:rPr>
        <w:t>Условия давностного владения.</w:t>
      </w:r>
      <w:r>
        <w:rPr>
          <w:rFonts w:ascii="Times New Roman" w:hAnsi="Times New Roman"/>
          <w:b w:val="0"/>
          <w:i w:val="0"/>
          <w:sz w:val="24"/>
        </w:rPr>
        <w:t xml:space="preserve"> Владение истца добросовестно: [получая владение, истец не знал и не должен был знать об отсутствии основания возникновения права — объект передан по [__]]; открыто: [истец не скрывал владения, объект на балансе]; непрерывно: [не прекращалось с «[дата]»]; как своим собственным: [не по договору аренды, хранения и т. п.].</w:t>
      </w:r>
    </w:p>
    <w:p>
      <w:pPr>
        <w:spacing w:after="120" w:line="276" w:lineRule="auto"/>
        <w:ind w:firstLine="709"/>
        <w:jc w:val="both"/>
      </w:pPr>
      <w:r>
        <w:rPr>
          <w:rFonts w:ascii="Times New Roman" w:hAnsi="Times New Roman"/>
          <w:b/>
          <w:i w:val="0"/>
          <w:sz w:val="24"/>
        </w:rPr>
        <w:t>Регистрация права.</w:t>
      </w:r>
      <w:r>
        <w:rPr>
          <w:rFonts w:ascii="Times New Roman" w:hAnsi="Times New Roman"/>
          <w:b w:val="0"/>
          <w:i w:val="0"/>
          <w:sz w:val="24"/>
        </w:rPr>
        <w:t xml:space="preserve"> Пунктом 2 статьи 8.1 ГК РФ установлено: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Признание права судом — единственный способ зарегистрировать право истца.</w:t>
      </w:r>
    </w:p>
    <w:p>
      <w:pPr>
        <w:spacing w:after="120" w:line="276" w:lineRule="auto"/>
        <w:ind w:firstLine="709"/>
        <w:jc w:val="both"/>
      </w:pPr>
      <w:r>
        <w:rPr>
          <w:rFonts w:ascii="Times New Roman" w:hAnsi="Times New Roman"/>
          <w:b/>
          <w:i w:val="0"/>
          <w:sz w:val="24"/>
        </w:rPr>
        <w:t>Основание приобретения.</w:t>
      </w:r>
      <w:r>
        <w:rPr>
          <w:rFonts w:ascii="Times New Roman" w:hAnsi="Times New Roman"/>
          <w:b w:val="0"/>
          <w:i w:val="0"/>
          <w:sz w:val="24"/>
        </w:rPr>
        <w:t xml:space="preserve"> Пунктом 3 статьи 218 ГК РФ предусмотрено: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225, 234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