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собственник помещения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управляющая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начисления платы незаконным, обязании произвести перерасчёт, взыскании штрафа за нарушение порядка расчёта,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начисления платы незаконным, обязании произвести перерасчёт и взыскании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157 ЖК РФ: плата начислена с нарушением установленного порядка расчёта, что влечёт перерасчёт и штраф в пользу потребителя (части 1 и 2 статьи 379.7 ГПК РФ).</w:t>
      </w:r>
    </w:p>
    <w:p>
      <w:pPr>
        <w:spacing w:after="120" w:line="276" w:lineRule="auto"/>
        <w:ind w:firstLine="709"/>
        <w:jc w:val="both"/>
      </w:pPr>
      <w:r>
        <w:rPr>
          <w:rFonts w:ascii="Times New Roman" w:hAnsi="Times New Roman"/>
          <w:b/>
          <w:i w:val="0"/>
          <w:sz w:val="24"/>
        </w:rPr>
        <w:t>Размер платы.</w:t>
      </w:r>
      <w:r>
        <w:rPr>
          <w:rFonts w:ascii="Times New Roman" w:hAnsi="Times New Roman"/>
          <w:b w:val="0"/>
          <w:i w:val="0"/>
          <w:sz w:val="24"/>
        </w:rPr>
        <w:t xml:space="preserve"> Частью 1 статьи 157 ЖК РФ установлено: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spacing w:after="120" w:line="276" w:lineRule="auto"/>
        <w:ind w:firstLine="709"/>
        <w:jc w:val="both"/>
      </w:pPr>
      <w:r>
        <w:rPr>
          <w:rFonts w:ascii="Times New Roman" w:hAnsi="Times New Roman"/>
          <w:b/>
          <w:i w:val="0"/>
          <w:sz w:val="24"/>
        </w:rPr>
        <w:t>Штраф за неправильный расчёт.</w:t>
      </w:r>
      <w:r>
        <w:rPr>
          <w:rFonts w:ascii="Times New Roman" w:hAnsi="Times New Roman"/>
          <w:b w:val="0"/>
          <w:i w:val="0"/>
          <w:sz w:val="24"/>
        </w:rPr>
        <w:t xml:space="preserve"> Частью 6 статьи 157 ЖК РФ: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 «о выявлении нарушения и выплате штрафа» «об отсутствии нарушения и отказе в выплате штрафа.» Частью 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after="120" w:line="276" w:lineRule="auto"/>
        <w:ind w:firstLine="709"/>
        <w:jc w:val="both"/>
      </w:pPr>
      <w:r>
        <w:rPr>
          <w:rFonts w:ascii="Times New Roman" w:hAnsi="Times New Roman"/>
          <w:b/>
          <w:i w:val="0"/>
          <w:sz w:val="24"/>
        </w:rPr>
        <w:t>Обязанность вносить плату — только в установленном размере.</w:t>
      </w:r>
      <w:r>
        <w:rPr>
          <w:rFonts w:ascii="Times New Roman" w:hAnsi="Times New Roman"/>
          <w:b w:val="0"/>
          <w:i w:val="0"/>
          <w:sz w:val="24"/>
        </w:rPr>
        <w:t xml:space="preserve"> Частью 1 статьи 153 ЖК РФ: «Граждане и организации обязаны своевременно и полностью вносить плату за жилое помещение и коммунальные услуги.» Частью 2 статьи 155 ЖК РФ: «Плата за жилое помещение и коммунальные услуги вносится на основании:» «платежных документов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spacing w:after="120" w:line="276" w:lineRule="auto"/>
        <w:ind w:firstLine="709"/>
        <w:jc w:val="both"/>
      </w:pPr>
      <w:r>
        <w:rPr>
          <w:rFonts w:ascii="Times New Roman" w:hAnsi="Times New Roman"/>
          <w:b/>
          <w:i w:val="0"/>
          <w:sz w:val="24"/>
        </w:rPr>
        <w:t>Информация о цене.</w:t>
      </w:r>
      <w:r>
        <w:rPr>
          <w:rFonts w:ascii="Times New Roman" w:hAnsi="Times New Roman"/>
          <w:b w:val="0"/>
          <w:i w:val="0"/>
          <w:sz w:val="24"/>
        </w:rPr>
        <w:t xml:space="preserve"> Пунктом 1 статьи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154, 157 ЖК РФ, статьёй 10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