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Суд по интеллектуальным правам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сторона договора об отчуждении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другая сторона: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взыскании вознаграждения по договору об отчуждении исключительного права [либо о переводе на истца прав приобретателя]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взыскании цены по договору об отчуждении исключительного права [о переводе прав приобретателя]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кассационной инстанции.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274 АПК РФ установлено: «3. Суд по интеллектуальным правам в качестве суда кассационной инстанции рассматривает: 2) дела о защите интеллектуальных прав, рассмотренные арбитражными судами субъектов Российской Федерации в качестве суда первой инстанции, арбитражными апелляционными судами.» Настоящее дело — дело о защите интеллектуальных прав, поэтому кассационная жалоба адресуется Суду по интеллектуальным правам.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статьи 1234 и 1285 ГК РФ: исключительное право передано [договор заключён], а встречное обязательство не исполнено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об отчуждении исключительного права.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1234 ГК РФ установлено: «По договору об отчуждении исключительного права одна сторона (правообладатель) передает или обязуется передать принадлежащее ей исключительное право на результат интеллектуальной деятельности или на средство индивидуализации в полном объеме другой стороне (приобретателю).» Согласно пункту 3 той же статьи «По договору об отчуждении исключительного права приобретатель обязуется уплатить правообладателю предусмотренное договором вознаграждение, если договором не предусмотрено иное.»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Возмездность.</w:t>
      </w:r>
      <w:r>
        <w:rPr>
          <w:rFonts w:ascii="Times New Roman" w:hAnsi="Times New Roman"/>
          <w:b w:val="0"/>
          <w:i w:val="0"/>
          <w:sz w:val="24"/>
        </w:rPr>
        <w:t xml:space="preserve"> Пунктом 3.1 статьи 1234 ГК РФ предусмотрено: «Не допускается безвозмездное отчуждение исключительного права в отношениях между коммерческими организациями, если настоящим Кодексом не предусмотрено иное.»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Момент перехода права.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1234 ГК РФ установлено: «Исключительное право на результат интеллектуальной деятельности или на средство индивидуализации переходит от правообладателя к приобретателю в момент заключения договора об отчуждении исключительного права, если соглашением сторон не предусмотрено иное. Если переход исключительного права по договору об отчуждении исключительного права подлежит государственной регистрации (пункт 2 статьи 1232), исключительное право на такой результат или на такое средство переходит от правообладателя к приобретателю в момент государственной регистрации.»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неоплаты.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1234 ГК РФ предусмотрено: «При существенном нарушении приобретателем обязанности выплатить правообладателю в установленный договором об отчуждении исключительного права срок вознаграждение за приобретение исключительного права на результат интеллектуальной деятельности или на средство индивидуализации (подпункт 1 пункта 2 статьи 450) прежний правообладатель вправе требовать в судебном порядке перевода на себя прав приобретателя исключительного права и возмещения убытков, если исключительное право перешло к его приобретателю.» «Если исключительное право не перешло к приобретателю, при существенном нарушении им обязанности выплатить в установленный договором срок вознаграждение за приобретение исключительного права правообладатель может отказаться от договора в одностороннем порядке и потребовать возмещения убытков, причиненных расторжением договора. Договор прекращается по истечении тридцатидневного срока с момента получения приобретателем уведомления об отказе от договора, если в этот срок приобретатель не исполнил обязанность выплатить вознаграждение.»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[выбирает взыскание вознаграждения / требует перевода на себя прав приобретателя в связи с существенным нарушением: вознаграждение не уплачено более [__] месяцев, что лишает истца того, на что он рассчитывал].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Существенное нарушение.</w:t>
      </w:r>
      <w:r>
        <w:rPr>
          <w:rFonts w:ascii="Times New Roman" w:hAnsi="Times New Roman"/>
          <w:b w:val="0"/>
          <w:i w:val="0"/>
          <w:sz w:val="24"/>
        </w:rPr>
        <w:t xml:space="preserve"> Абзацем четвёртым пункта 2 статьи 450 ГК РФ установлено: «Существенным признается нарушение договора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договора.»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Надлежащее исполнение.</w:t>
      </w:r>
      <w:r>
        <w:rPr>
          <w:rFonts w:ascii="Times New Roman" w:hAnsi="Times New Roman"/>
          <w:b w:val="0"/>
          <w:i w:val="0"/>
          <w:sz w:val="24"/>
        </w:rPr>
        <w:t xml:space="preserve"> Статьёй 309 ГК РФ предусмотрено: «Обязательства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требованиями.» Согласно пункту 1 статьи 395 ГК РФ «В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1232, 1234, 1285 ГК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по интеллектуальным правам в кассации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