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прекратившим право пользования жилым помещением, выселении и снятии с регистрационного учёта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прекратившим право пользования жилым помещением, выселении и снятии с регистрационного учёта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[или сохраняя право пользования на длительный срок], суды неправильно применили часть 4 статьи 31 ЖК РФ: семейные отношения прекращены, соглашения о пользовании нет, а оснований для сохранения права на срок не доказано (части 1 и 2 статьи 379.7 ГПК РФ).</w:t>
      </w:r>
    </w:p>
    <w:p>
      <w:pPr>
        <w:spacing w:after="120" w:line="276" w:lineRule="auto"/>
        <w:ind w:firstLine="709"/>
        <w:jc w:val="both"/>
      </w:pPr>
      <w:r>
        <w:rPr>
          <w:rFonts w:ascii="Times New Roman" w:hAnsi="Times New Roman"/>
          <w:b/>
          <w:i w:val="0"/>
          <w:sz w:val="24"/>
        </w:rPr>
        <w:t>Члены семьи собственника.</w:t>
      </w:r>
      <w:r>
        <w:rPr>
          <w:rFonts w:ascii="Times New Roman" w:hAnsi="Times New Roman"/>
          <w:b w:val="0"/>
          <w:i w:val="0"/>
          <w:sz w:val="24"/>
        </w:rPr>
        <w:t xml:space="preserve"> Частью 1 статьи 31 ЖК РФ установлено: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 Частью 2 той же статьи: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pPr>
        <w:spacing w:after="120" w:line="276" w:lineRule="auto"/>
        <w:ind w:firstLine="709"/>
        <w:jc w:val="both"/>
      </w:pPr>
      <w:r>
        <w:rPr>
          <w:rFonts w:ascii="Times New Roman" w:hAnsi="Times New Roman"/>
          <w:b/>
          <w:i w:val="0"/>
          <w:sz w:val="24"/>
        </w:rPr>
        <w:t>Прекращение права при прекращении семейных отношений.</w:t>
      </w:r>
      <w:r>
        <w:rPr>
          <w:rFonts w:ascii="Times New Roman" w:hAnsi="Times New Roman"/>
          <w:b w:val="0"/>
          <w:i w:val="0"/>
          <w:sz w:val="24"/>
        </w:rPr>
        <w:t xml:space="preserve"> Частью 4 статьи 31 ЖК РФ предусмотрено: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 При этом суд вправе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 Разъяснения по применению этих норм даны в постановлении Пленума Верховного Суда РФ от 02.07.2009 № 14 «О некоторых вопросах, возникших в судебной практике при применении Жилищного кодекса Российской Федерации». Бывшими членами семьи собственника считаются, в частности, лица, с которыми прекращено ведение общего хозяйства, у которых отсутствуют общий бюджет, общие предметы быта и взаимная поддержка (п. 13).</w:t>
      </w:r>
    </w:p>
    <w:p>
      <w:pPr>
        <w:spacing w:after="120" w:line="276" w:lineRule="auto"/>
        <w:ind w:firstLine="709"/>
        <w:jc w:val="both"/>
      </w:pPr>
      <w:r>
        <w:rPr>
          <w:rFonts w:ascii="Times New Roman" w:hAnsi="Times New Roman"/>
          <w:b/>
          <w:i w:val="0"/>
          <w:sz w:val="24"/>
        </w:rPr>
        <w:t>Права собственника.</w:t>
      </w:r>
      <w:r>
        <w:rPr>
          <w:rFonts w:ascii="Times New Roman" w:hAnsi="Times New Roman"/>
          <w:b w:val="0"/>
          <w:i w:val="0"/>
          <w:sz w:val="24"/>
        </w:rPr>
        <w:t xml:space="preserve"> Пунктом 1 статьи 209 ГК РФ установлено: «Собственнику принадлежат права владения, пользования и распоряжения своим имуществом.» Статьёй 304 ГК РФ предусмотрено: «Собственник может требовать устранения всяких нарушений его права, хотя бы эти нарушения и не были соединены с лишением владения.» Пунктом 1 статьи 292 ГК РФ определено: «Члены семьи собственника, проживающие в принадлежащем ему жилом помещении, имеют право пользования этим помещением на условиях, предусмотренных жилищным законодательством.»</w:t>
      </w:r>
    </w:p>
    <w:p>
      <w:pPr>
        <w:spacing w:after="120" w:line="276" w:lineRule="auto"/>
        <w:ind w:firstLine="709"/>
        <w:jc w:val="both"/>
      </w:pPr>
      <w:r>
        <w:rPr>
          <w:rFonts w:ascii="Times New Roman" w:hAnsi="Times New Roman"/>
          <w:b/>
          <w:i w:val="0"/>
          <w:sz w:val="24"/>
        </w:rPr>
        <w:t>Выселение.</w:t>
      </w:r>
      <w:r>
        <w:rPr>
          <w:rFonts w:ascii="Times New Roman" w:hAnsi="Times New Roman"/>
          <w:b w:val="0"/>
          <w:i w:val="0"/>
          <w:sz w:val="24"/>
        </w:rPr>
        <w:t xml:space="preserve"> Частью 1 статьи 35 ЖК РФ установлено: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w:t>
      </w:r>
    </w:p>
    <w:p>
      <w:pPr>
        <w:spacing w:after="120" w:line="276" w:lineRule="auto"/>
        <w:ind w:firstLine="709"/>
        <w:jc w:val="both"/>
      </w:pPr>
      <w:r>
        <w:rPr>
          <w:rFonts w:ascii="Times New Roman" w:hAnsi="Times New Roman"/>
          <w:b/>
          <w:i w:val="0"/>
          <w:sz w:val="24"/>
        </w:rPr>
        <w:t>Возможное сохранение права на срок.</w:t>
      </w:r>
      <w:r>
        <w:rPr>
          <w:rFonts w:ascii="Times New Roman" w:hAnsi="Times New Roman"/>
          <w:b w:val="0"/>
          <w:i w:val="0"/>
          <w:sz w:val="24"/>
        </w:rPr>
        <w:t xml:space="preserve"> Абзацем вторым части 4 статьи 31 ЖК РФ суд вправе сохранить за бывшим членом семьи право пользования на определённый срок, если у него нет оснований приобрести или осуществлять право пользования иным жилым помещением и имущественное положение не позволяет обеспечить себя жильём. У ответчика такие обстоятельства отсутствуют: [он имеет в собственности квартиру по адресу __ / трудоспособен, имеет доход __ / может проживать у родителей].</w:t>
      </w:r>
    </w:p>
    <w:p>
      <w:pPr>
        <w:spacing w:after="120" w:line="276" w:lineRule="auto"/>
        <w:ind w:firstLine="709"/>
        <w:jc w:val="both"/>
      </w:pPr>
      <w:r>
        <w:rPr>
          <w:rFonts w:ascii="Times New Roman" w:hAnsi="Times New Roman"/>
          <w:b/>
          <w:i w:val="0"/>
          <w:sz w:val="24"/>
        </w:rPr>
        <w:t>Защита жилищных прав.</w:t>
      </w:r>
      <w:r>
        <w:rPr>
          <w:rFonts w:ascii="Times New Roman" w:hAnsi="Times New Roman"/>
          <w:b w:val="0"/>
          <w:i w:val="0"/>
          <w:sz w:val="24"/>
        </w:rPr>
        <w:t xml:space="preserve"> Частью 4 статьи 3 Жилищного кодекса Российской Федерации (далее —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Согласно части 3 статьи 11 ЖК РФ защита жилищных прав осуществляется, в частности, путём «признания жилищного права», «восстановления положения, существовавшего до нарушения жилищного права, и пресечения действий, нарушающих это право или создающих угрозу его нарушения» и «прекращения или изменения жилищного правоотношения»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31, 35 ЖК РФ, статьёй 209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