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имущества личной собственностью супруга и исключении его из состава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имущества личной собственностью супруга и исключении его из состава общего имущества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34 и 36 СК РФ: имущество приобретено на личные средства истца [полученные до брака / в дар / от продажи добрачного имущества], а происхождение средств подтверждено документами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Личное имущество супруга.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36 Семейного кодекса Российской Федерации (далее — СК РФ) «Имущество,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собственностью.» Аналогичное правило содержится в пункте 2 статьи 256 Гражданского кодекса Российской Федерации (далее — ГК РФ):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 — только нажитое на общие средства.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34 СК РФ установлено: «Имущество, нажитое супругами во время брака, является их совместной собственностью.» Пунктом 2 той же статьи определён состав общего имущества: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Решающее значение имеет не дата приобретения, а источник средств. Имущество, приобретённое в браке на личные средства одного из супругов, принадлежавшие ему до брака или полученные в дар или по наследству, общим не является (п. 15 постановления Пленума Верховного Суда РФ от 05.11.1998 № 15 «О применении судами законодательства при рассмотрении дел о расторжении брака»).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Обратное правило к истцу не применимо.</w:t>
      </w:r>
      <w:r>
        <w:rPr>
          <w:rFonts w:ascii="Times New Roman" w:hAnsi="Times New Roman"/>
          <w:b w:val="0"/>
          <w:i w:val="0"/>
          <w:sz w:val="24"/>
        </w:rPr>
        <w:t xml:space="preserve"> Статья 37 СК РФ позволяет признать личное имущество общим лишь при значительных вложениях за счёт общих средств: «Имущество каждого из супругов может быть признано судом их совместной собственностью, если будет установлено, что в период брака за счет общего имущества супругов или имущества каждого из супругов либо труда одного из супругов были произведены вложения, значительно увеличивающие стоимость этого имущества (капитальный ремонт, реконструкция, переоборудование и другие).» Таких вложений в спорное имущество не производилось [либо: стоимость произведённых из общих средств улучшений незначительна по сравнению со стоимостью имущества].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имущество приобретено после фактического прекращения семейных отношений:] Пунктом 4 статьи 38 СК РФ предусмотрено: «Суд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права собственности вытекает из семейных отношений;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[Если брак расторгнут и спор связан с разделом — трёхлетний срок по п. 7 ст. 38 СК РФ, исчисляемый со дня, когда истец узнал о нарушении своего права.]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34, 36, 37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