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стороны сделки: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договора недействительным (ничтожным) как мнимой сделки и применении последствий его недействительности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мнимой сделки недействительной и применении последствий её недействительности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1 статьи 170 ГК РФ: сделка совершена лишь для вида, без намерения создать правовые последствия, а формальное оформление документов это не опровергает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Мнимая сделка.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ГК РФ установлено: «Мнимая сделка, то есть сделка, совершенная лишь для вида, без намерения создать соответствующие ей правовые последствия, ничтожна.» Признаки мнимости: [перечисленные выше обстоятельства]. Формальное оформление документов (акт передачи, платёжные поручения) не исключает мнимости, если стороны не намеревались создать реальные правовые последствия.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Сделка, совершённая с целью сокрытия имущества от обращения взыскания, нарушает этот запрет. Пунктом 2 статьи 168 ГК РФ предусмотрено: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Интерес истца состоит в возврате имущества в собственность ответчика 1 для обращения на него взыскания по требованию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Возврат имущества в собственность ответчика 1 восстановит положение, существовавшее до совершения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167, 170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