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собственности на гаражный бокс</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собственности на гаражный бокс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4 статьи 218 ГК РФ: член кооператива, полностью внёсший паевой взнос, приобретает право собственности на гараж независимо от регистрации (части 1 и 2 статьи 379.7 ГПК РФ).</w:t>
      </w:r>
    </w:p>
    <w:p>
      <w:pPr>
        <w:spacing w:after="120" w:line="276" w:lineRule="auto"/>
        <w:ind w:firstLine="709"/>
        <w:jc w:val="both"/>
      </w:pPr>
      <w:r>
        <w:rPr>
          <w:rFonts w:ascii="Times New Roman" w:hAnsi="Times New Roman"/>
          <w:b/>
          <w:i w:val="0"/>
          <w:sz w:val="24"/>
        </w:rPr>
        <w:t>Основание возникновения права.</w:t>
      </w:r>
      <w:r>
        <w:rPr>
          <w:rFonts w:ascii="Times New Roman" w:hAnsi="Times New Roman"/>
          <w:b w:val="0"/>
          <w:i w:val="0"/>
          <w:sz w:val="24"/>
        </w:rPr>
        <w:t xml:space="preserve">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spacing w:after="120" w:line="276" w:lineRule="auto"/>
        <w:ind w:firstLine="709"/>
        <w:jc w:val="both"/>
      </w:pPr>
      <w:r>
        <w:rPr>
          <w:rFonts w:ascii="Times New Roman" w:hAnsi="Times New Roman"/>
          <w:b w:val="0"/>
          <w:i w:val="0"/>
          <w:sz w:val="24"/>
        </w:rPr>
        <w:t>Право собственности члена кооператива на гараж возникает в момент полной выплаты пая; государственная регистрация в этом случае имеет правоподтверждающий, а не правоустанавливающий характер. Отсутствие у кооператива зарегистрированного права на здание и документов о вводе объекта в эксплуатацию не может само по себе препятствовать признанию права члена кооператива, полностью выплатившего пай.</w:t>
      </w:r>
    </w:p>
    <w:p>
      <w:pPr>
        <w:spacing w:after="120" w:line="276" w:lineRule="auto"/>
        <w:ind w:firstLine="709"/>
        <w:jc w:val="both"/>
      </w:pPr>
      <w:r>
        <w:rPr>
          <w:rFonts w:ascii="Times New Roman" w:hAnsi="Times New Roman"/>
          <w:b/>
          <w:i w:val="0"/>
          <w:sz w:val="24"/>
        </w:rPr>
        <w:t>Гаражная амнистия.</w:t>
      </w:r>
      <w:r>
        <w:rPr>
          <w:rFonts w:ascii="Times New Roman" w:hAnsi="Times New Roman"/>
          <w:b w:val="0"/>
          <w:i w:val="0"/>
          <w:sz w:val="24"/>
        </w:rPr>
        <w:t xml:space="preserve"> Федеральным законом от 05.04.2021 № 79-ФЗ установлен упрощённый порядок оформления гаражей, возведённых до 30.12.2004, через предоставление земельного участка под гаражом; истец [не может им воспользоваться, поскольку __ / выбрал судебный порядок ввиду __].</w:t>
      </w:r>
    </w:p>
    <w:p>
      <w:pPr>
        <w:spacing w:after="120" w:line="276" w:lineRule="auto"/>
        <w:ind w:firstLine="709"/>
        <w:jc w:val="both"/>
      </w:pPr>
      <w:r>
        <w:rPr>
          <w:rFonts w:ascii="Times New Roman" w:hAnsi="Times New Roman"/>
          <w:b/>
          <w:i w:val="0"/>
          <w:sz w:val="24"/>
        </w:rPr>
        <w:t>Соответствие требованиям.</w:t>
      </w:r>
      <w:r>
        <w:rPr>
          <w:rFonts w:ascii="Times New Roman" w:hAnsi="Times New Roman"/>
          <w:b w:val="0"/>
          <w:i w:val="0"/>
          <w:sz w:val="24"/>
        </w:rPr>
        <w:t xml:space="preserve"> Согласно техническому заключению [организация] № __ от «[дата]» Гараж является капитальным строением, соответствует строительным и противопожарным нормам и не создаёт угрозы жизни и здоровью граждан.</w:t>
      </w:r>
    </w:p>
    <w:p>
      <w:pPr>
        <w:spacing w:after="120" w:line="276" w:lineRule="auto"/>
        <w:ind w:firstLine="709"/>
        <w:jc w:val="both"/>
      </w:pPr>
      <w:r>
        <w:rPr>
          <w:rFonts w:ascii="Times New Roman" w:hAnsi="Times New Roman"/>
          <w:b/>
          <w:i w:val="0"/>
          <w:sz w:val="24"/>
        </w:rPr>
        <w:t>Признание права как способ защиты.</w:t>
      </w:r>
      <w:r>
        <w:rPr>
          <w:rFonts w:ascii="Times New Roman" w:hAnsi="Times New Roman"/>
          <w:b w:val="0"/>
          <w:i w:val="0"/>
          <w:sz w:val="24"/>
        </w:rPr>
        <w:t xml:space="preserve"> Статьёй 12 ГК РФ защита гражданских прав осуществляется, в частности, путём «признания права» Согласно пункту 59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иск о признании права подлежит удовлетворению в случае представления истцом доказательств возникновения у него соответствующего права; иски лиц, права которых никогда не были зарегистрированы, могут быть удовлетворены, если права возникли до вступления в силу закона о государственной регистрации либо возникли независимо от их регистрации в соответствии с законом — что имеет место для члена кооператива, полностью выплатившего пай.</w:t>
      </w:r>
    </w:p>
    <w:p>
      <w:pPr>
        <w:spacing w:after="120" w:line="276" w:lineRule="auto"/>
        <w:ind w:firstLine="709"/>
        <w:jc w:val="both"/>
      </w:pPr>
      <w:r>
        <w:rPr>
          <w:rFonts w:ascii="Times New Roman" w:hAnsi="Times New Roman"/>
          <w:b/>
          <w:i w:val="0"/>
          <w:sz w:val="24"/>
        </w:rPr>
        <w:t>Соотношение со статьёй 219 ГК РФ.</w:t>
      </w:r>
      <w:r>
        <w:rPr>
          <w:rFonts w:ascii="Times New Roman" w:hAnsi="Times New Roman"/>
          <w:b w:val="0"/>
          <w:i w:val="0"/>
          <w:sz w:val="24"/>
        </w:rPr>
        <w:t xml:space="preserve"> Статьёй 219 ГК РФ установлено: «Право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 Однако для члена кооператива специальным правилом пункта 4 статьи 218 ГК РФ момент возникновения права связан с выплатой пая, а не с регистрацией; регистрация лишь подтверждает уже возникшее право.</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Пунктом 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ind w:firstLine="709"/>
        <w:jc w:val="both"/>
      </w:pPr>
      <w:r>
        <w:rPr>
          <w:rFonts w:ascii="Times New Roman" w:hAnsi="Times New Roman"/>
          <w:b/>
          <w:i w:val="0"/>
          <w:sz w:val="24"/>
        </w:rPr>
        <w:t>Надлежащий ответчик.</w:t>
      </w:r>
      <w:r>
        <w:rPr>
          <w:rFonts w:ascii="Times New Roman" w:hAnsi="Times New Roman"/>
          <w:b w:val="0"/>
          <w:i w:val="0"/>
          <w:sz w:val="24"/>
        </w:rPr>
        <w:t xml:space="preserve"> [Действующий кооператив — как лицо, предоставившее гараж.] [Если кооператив исключён из ЕГРЮЛ — орган местного самоуправления, на территории которого находится земельный участок под гаражным комплексом.]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218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