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собственности на земельный участок</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собственности на земельный участок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9.1 статьи 3 Закона о введении в действие ЗК РФ: участок предоставлен до 30.10.2001 на праве постоянного пользования [пожизненного наследуемого владения], поэтому гражданин вправе зарегистрировать право собственности (части 1 и 2 статьи 379.7 ГПК РФ).</w:t>
      </w:r>
    </w:p>
    <w:p>
      <w:pPr>
        <w:spacing w:after="120" w:line="276" w:lineRule="auto"/>
        <w:ind w:firstLine="709"/>
        <w:jc w:val="both"/>
      </w:pPr>
      <w:r>
        <w:rPr>
          <w:rFonts w:ascii="Times New Roman" w:hAnsi="Times New Roman"/>
          <w:b/>
          <w:i w:val="0"/>
          <w:sz w:val="24"/>
        </w:rPr>
        <w:t>Участок считается предоставленным в собственность.</w:t>
      </w:r>
      <w:r>
        <w:rPr>
          <w:rFonts w:ascii="Times New Roman" w:hAnsi="Times New Roman"/>
          <w:b w:val="0"/>
          <w:i w:val="0"/>
          <w:sz w:val="24"/>
        </w:rPr>
        <w:t xml:space="preserve"> Пунктом 9.1 статьи 3 Федерального закона от 25.10.2001 № 137-ФЗ «О введении в действие Земельного кодекса Российской Федерации» установлено: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такой земельный участок считается предоставленным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 Абзацем вторым: «В случае, если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не указано право, на котором предоставлен такой земельный участок, или невозможно определить вид этого права, такой земельный участок считается предоставленным указанному гражданину на праве собственности, за исключением случаев, если в соответствии с федеральным законом такой земельный участок не может предоставляться в частную собственность.»</w:t>
      </w:r>
    </w:p>
    <w:p>
      <w:pPr>
        <w:spacing w:after="120" w:line="276" w:lineRule="auto"/>
        <w:ind w:firstLine="709"/>
        <w:jc w:val="both"/>
      </w:pPr>
      <w:r>
        <w:rPr>
          <w:rFonts w:ascii="Times New Roman" w:hAnsi="Times New Roman"/>
          <w:b/>
          <w:i w:val="0"/>
          <w:sz w:val="24"/>
        </w:rPr>
        <w:t>Право наследника и приобретателя строения.</w:t>
      </w:r>
      <w:r>
        <w:rPr>
          <w:rFonts w:ascii="Times New Roman" w:hAnsi="Times New Roman"/>
          <w:b w:val="0"/>
          <w:i w:val="0"/>
          <w:sz w:val="24"/>
        </w:rPr>
        <w:t xml:space="preserve"> Абзацем третьим пункта 9.1: «Граждане, к которым перешли в порядке наследования или по иным основаниям права собственности на здания, строения и (или) сооружения, расположенные на земельных участках, указанных в настоящем пункте, вправе зарегистрировать права собственности на такие земельные участки, за исключением случаев, если в соответствии с федеральным законом такие земельные участки не могут предоставляться в частную собственность.» Абзацем четвёртым: «Государственная регистрация прав собственности на указанные в настоящем пункте земельные участки осуществляется в соответствии со статьей 49 Федерального закона от 13 июля 2015 года N 218-ФЗ "О государственной регистрации недвижимости". Принятие решений о предоставлении таких земельных участков в собственность граждан не требуется.»</w:t>
      </w:r>
    </w:p>
    <w:p>
      <w:pPr>
        <w:spacing w:after="120" w:line="276" w:lineRule="auto"/>
        <w:ind w:firstLine="709"/>
        <w:jc w:val="both"/>
      </w:pPr>
      <w:r>
        <w:rPr>
          <w:rFonts w:ascii="Times New Roman" w:hAnsi="Times New Roman"/>
          <w:b/>
          <w:i w:val="0"/>
          <w:sz w:val="24"/>
        </w:rPr>
        <w:t>Наследование земельного участка.</w:t>
      </w:r>
      <w:r>
        <w:rPr>
          <w:rFonts w:ascii="Times New Roman" w:hAnsi="Times New Roman"/>
          <w:b w:val="0"/>
          <w:i w:val="0"/>
          <w:sz w:val="24"/>
        </w:rPr>
        <w:t xml:space="preserve"> [Для наследника:] Статьёй 1112 ГК РФ: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Участок, принадлежавший наследодателю на праве собственности в силу п. 9.1 ст. 3 Закона № 137-ФЗ, входит в состав наследства. Пунктом 2 статьи 1152 ГК РФ: «Принятие наследником части наследства означает принятие всего причитающегося ему наследства, в чем бы оно ни заключалось и где бы оно ни находилось.» Пунктом 4: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Истец принял наследство [подав заявление нотариусу / фактически, приняв дом], а значит, и земельный участок.</w:t>
      </w:r>
    </w:p>
    <w:p>
      <w:pPr>
        <w:spacing w:after="120" w:line="276" w:lineRule="auto"/>
        <w:ind w:firstLine="709"/>
        <w:jc w:val="both"/>
      </w:pPr>
      <w:r>
        <w:rPr>
          <w:rFonts w:ascii="Times New Roman" w:hAnsi="Times New Roman"/>
          <w:b/>
          <w:i w:val="0"/>
          <w:sz w:val="24"/>
        </w:rPr>
        <w:t>Единство судьбы земли и строений.</w:t>
      </w:r>
      <w:r>
        <w:rPr>
          <w:rFonts w:ascii="Times New Roman" w:hAnsi="Times New Roman"/>
          <w:b w:val="0"/>
          <w:i w:val="0"/>
          <w:sz w:val="24"/>
        </w:rPr>
        <w:t xml:space="preserve"> Подпунктом 5 пункта 1 статьи 1 ЗК РФ закреплён принцип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Переход права на дом влечёт переход прав на участок, занятый домом и необходимый для его использования.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Выписка из похозяйственной книги о наличии у гражданина права на земельный участок, свидетельство о праве на землю и иные документы, выданные до введения в действие ЗК РФ, имеют равную юридическую силу с записями в ЕГРН. Истец ходатайствует об истребовании из [администрации / архива] похозяйственных книг за [годы] и архивных копий решения о предоставлении участка (ст. 57 ГПК РФ), а также о допросе свидетелей, подтверждающих длительное пользование участком семьёй истца.</w:t>
      </w:r>
    </w:p>
    <w:p>
      <w:pPr>
        <w:spacing w:after="120" w:line="276" w:lineRule="auto"/>
        <w:ind w:firstLine="709"/>
        <w:jc w:val="both"/>
      </w:pPr>
      <w:r>
        <w:rPr>
          <w:rFonts w:ascii="Times New Roman" w:hAnsi="Times New Roman"/>
          <w:b/>
          <w:i w:val="0"/>
          <w:sz w:val="24"/>
        </w:rPr>
        <w:t>Признание права.</w:t>
      </w:r>
      <w:r>
        <w:rPr>
          <w:rFonts w:ascii="Times New Roman" w:hAnsi="Times New Roman"/>
          <w:b w:val="0"/>
          <w:i w:val="0"/>
          <w:sz w:val="24"/>
        </w:rPr>
        <w:t xml:space="preserve"> Статьёй 12 ГК РФ защита осуществляется путём «признания права» Пунктом 3 статьи 6 ЗК РФ: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pPr>
        <w:spacing w:after="120" w:line="276" w:lineRule="auto"/>
        <w:ind w:firstLine="709"/>
        <w:jc w:val="both"/>
      </w:pPr>
      <w:r>
        <w:rPr>
          <w:rFonts w:ascii="Times New Roman" w:hAnsi="Times New Roman"/>
          <w:b w:val="0"/>
          <w:i w:val="0"/>
          <w:sz w:val="24"/>
        </w:rPr>
        <w:t>Право правопредшественника возникло до введения в действие ЗК РФ и считается юридически действительным при отсутствии его регистрации в ЕГРН; отказ в регистрации нарушает права истца и может быть преодолён только решением суда.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 Федерального закона «О введении в действие Земельного кодекса РФ», статьёй 218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