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признании права собственности на наследственное имущество в порядке наследования</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признании права собственности на наследственное имущество в порядке наследования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статьи 218, 1111 и 1152 ГК РФ: истец принял наследство, а отсутствие государственной регистрации права наследодателя не исключает переход имущества к наследнику (части 1 и 2 статьи 379.7 ГПК РФ).</w:t>
      </w:r>
    </w:p>
    <w:p>
      <w:pPr>
        <w:spacing w:after="120" w:line="276" w:lineRule="auto"/>
        <w:ind w:firstLine="709"/>
        <w:jc w:val="both"/>
      </w:pPr>
      <w:r>
        <w:rPr>
          <w:rFonts w:ascii="Times New Roman" w:hAnsi="Times New Roman"/>
          <w:b/>
          <w:i w:val="0"/>
          <w:sz w:val="24"/>
        </w:rPr>
        <w:t>Открытие наследства.</w:t>
      </w:r>
      <w:r>
        <w:rPr>
          <w:rFonts w:ascii="Times New Roman" w:hAnsi="Times New Roman"/>
          <w:b w:val="0"/>
          <w:i w:val="0"/>
          <w:sz w:val="24"/>
        </w:rPr>
        <w:t xml:space="preserve"> Согласно статье 1113 Гражданского кодекса Российской Федерации (далее — ГК РФ) «Наследство открывается со смертью гражданина. Объявление судом гражданина умершим влечет за собой те же правовые последствия, что и смерть гражданина.» Пунктом 1 статьи 1114 ГК РФ установлено: «Временем открытия наследства является момент смерти гражданина. При объявлении гражданина умершим днем открытия наследства является день вступления в законную силу решения суда об объявлении гражданина умершим, а в случае, когда в соответствии с пунктом 3 статьи 45 настоящего Кодекса днем смерти гражданина признан день его предполагаемой гибели, - день и момент смерти, указанные в решении суда.» Статьёй 1112 ГК РФ определено: «В состав наследства входят принадлежавшие наследодателю на день открытия наследства вещи, иное имущество, в том числе имущественные права и обязанности.»</w:t>
      </w:r>
    </w:p>
    <w:p>
      <w:pPr>
        <w:spacing w:after="120" w:line="276" w:lineRule="auto"/>
        <w:ind w:firstLine="709"/>
        <w:jc w:val="both"/>
      </w:pPr>
      <w:r>
        <w:rPr>
          <w:rFonts w:ascii="Times New Roman" w:hAnsi="Times New Roman"/>
          <w:b/>
          <w:i w:val="0"/>
          <w:sz w:val="24"/>
        </w:rPr>
        <w:t>Переход права собственности.</w:t>
      </w:r>
      <w:r>
        <w:rPr>
          <w:rFonts w:ascii="Times New Roman" w:hAnsi="Times New Roman"/>
          <w:b w:val="0"/>
          <w:i w:val="0"/>
          <w:sz w:val="24"/>
        </w:rPr>
        <w:t xml:space="preserve"> Абзацем вторым пункта 2 статьи 218 ГК РФ установлено: «В случае смерти гражданина право собственности на принадлежавшее ему имущество переходит по наследству к другим лицам в соответствии с завещанием или законом.» Пунктом 1 статьи 1110 ГК РФ предусмотрено: «При наследовании имущество умершего (наследство, наследственное имущество) переходит к другим лицам в порядке универсального правопреемства, то есть в неизменном виде как единое целое и в один и тот же момент, если из правил настоящего Кодекса не следует иное.»</w:t>
      </w:r>
    </w:p>
    <w:p>
      <w:pPr>
        <w:spacing w:after="120" w:line="276" w:lineRule="auto"/>
        <w:ind w:firstLine="709"/>
        <w:jc w:val="both"/>
      </w:pPr>
      <w:r>
        <w:rPr>
          <w:rFonts w:ascii="Times New Roman" w:hAnsi="Times New Roman"/>
          <w:b/>
          <w:i w:val="0"/>
          <w:sz w:val="24"/>
        </w:rPr>
        <w:t>Основания наследования.</w:t>
      </w:r>
      <w:r>
        <w:rPr>
          <w:rFonts w:ascii="Times New Roman" w:hAnsi="Times New Roman"/>
          <w:b w:val="0"/>
          <w:i w:val="0"/>
          <w:sz w:val="24"/>
        </w:rPr>
        <w:t xml:space="preserve"> Статьёй 1111 ГК РФ определено: «Наследование осуществляется по завещанию, по наследственному договору и по закону.» «Наследование по закону имеет место, когда и поскольку оно не изменено завещанием, а также в иных случаях, установленных настоящим Кодексом.» [При наследовании по закону:] Пунктом 1 статьи 1142 ГК РФ установлено: «Наследниками первой очереди по закону являются дети, супруг и родители наследодателя.» Согласно пункту 2 статьи 1141 ГК РФ «Наследники одной очереди наследуют в равных долях, за исключением наследников, наследующих по праву представления (статья 1146).»</w:t>
      </w:r>
    </w:p>
    <w:p>
      <w:pPr>
        <w:spacing w:after="120" w:line="276" w:lineRule="auto"/>
        <w:ind w:firstLine="709"/>
        <w:jc w:val="both"/>
      </w:pPr>
      <w:r>
        <w:rPr>
          <w:rFonts w:ascii="Times New Roman" w:hAnsi="Times New Roman"/>
          <w:b/>
          <w:i w:val="0"/>
          <w:sz w:val="24"/>
        </w:rPr>
        <w:t>Принятие наследства.</w:t>
      </w:r>
      <w:r>
        <w:rPr>
          <w:rFonts w:ascii="Times New Roman" w:hAnsi="Times New Roman"/>
          <w:b w:val="0"/>
          <w:i w:val="0"/>
          <w:sz w:val="24"/>
        </w:rPr>
        <w:t xml:space="preserve"> Пунктом 1 статьи 1152 ГК РФ установлено: «Для приобретения наследства наследник должен его принять.» Согласно пункту 1 статьи 1153 ГК РФ «Принятие наследства осуществляется подачей по месту открытия наследства нотариусу или уполномоченному в соответствии с законом выдавать свидетельства о праве на наследство должностному лицу заявления наследника о принятии наследства либо заявления наследника о выдаче свидетельства о праве на наследство.» Пунктом 2 той же статьи предусмотрено: «Признается, пока не доказано иное, что наследник принял наследство, если он совершил действия, свидетельствующие о фактическом принятии наследства, в частности если наследник:» «вступил во владение или в управление наследственным имуществом» «принял меры по сохранению наследственного имущества, защите его от посягательств или притязаний третьих лиц» «произвел за свой счет расходы на содержание наследственного имущества» «оплатил за свой счет долги наследодателя или получил от третьих лиц причитавшиеся наследодателю денежные средства.» Пунктом 1 статьи 1154 ГК РФ определён срок: «Наследство может быть принято в течение шести месяцев со дня открытия наследства.» В силу пункта 4 статьи 1152 ГК РФ «Принятое наследство признается принадлежащим наследнику со дня открытия наследства независимо от времени его фактического принятия, а также независимо от момента государственной регистрации права наследника на наследственное имущество, когда такое право подлежит государственной регистрации.»</w:t>
      </w:r>
    </w:p>
    <w:p>
      <w:pPr>
        <w:spacing w:after="120" w:line="276" w:lineRule="auto"/>
        <w:ind w:firstLine="709"/>
        <w:jc w:val="both"/>
      </w:pPr>
      <w:r>
        <w:rPr>
          <w:rFonts w:ascii="Times New Roman" w:hAnsi="Times New Roman"/>
          <w:b/>
          <w:i w:val="0"/>
          <w:sz w:val="24"/>
        </w:rPr>
        <w:t>Способ защиты.</w:t>
      </w:r>
      <w:r>
        <w:rPr>
          <w:rFonts w:ascii="Times New Roman" w:hAnsi="Times New Roman"/>
          <w:b w:val="0"/>
          <w:i w:val="0"/>
          <w:sz w:val="24"/>
        </w:rPr>
        <w:t xml:space="preserve"> В соответствии со статьёй 12 ГК РФ защита гражданских прав осуществляется путём «признания права» Поскольку получить свидетельство о праве на наследство во внесудебном порядке невозможно, истец вправе требовать признания права собственности в судебном порядке. Разъяснения по применению этих норм даны в постановлении Пленума Верховного Суда РФ от 29.05.2012 № 9 «О судебной практике по делам о наследовании».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12, 218, 1111, 1152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