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стороны сделки: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сделки недействительной как нарушающей требования закона и посягающей на права третьих лиц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недействительной сделки, нарушающей требования закона и посягающей на права третьих лиц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2 статьи 168 ГК РФ: сделка нарушает требования закона и посягает на охраняемые законом интересы истца как третьего лица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Оспоримые и ничтожные сделки.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166 Гражданского кодекса Российской Федерации (далее — ГК РФ) установлено: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 сделки, нарушающей закон и права третьих лиц.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168 ГК РФ установлено: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 Договор нарушает [норма] и одновременно посягает на права и охраняемые законом интересы истца, не являющегося его стороной. Для сравнения, пунктом 1 той же статьи установлено: «За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сделки.» В данном случае затронуты права третьего лица, поэтому сделка ничтожна.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Нарушенная норма.</w:t>
      </w:r>
      <w:r>
        <w:rPr>
          <w:rFonts w:ascii="Times New Roman" w:hAnsi="Times New Roman"/>
          <w:b w:val="0"/>
          <w:i w:val="0"/>
          <w:sz w:val="24"/>
        </w:rPr>
        <w:t xml:space="preserve"> [Процитируйте специальную норму закона, которую нарушает сделка.]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166 ГК РФ установлено: «Требование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лицо.»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Охраняемый законом интерес истца: [восстановление права [__], возможность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Недобросовестность сторон.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167 ГК РФ установлено: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 Согласно пункту 2 той же статьи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Недействительность части сделки.</w:t>
      </w:r>
      <w:r>
        <w:rPr>
          <w:rFonts w:ascii="Times New Roman" w:hAnsi="Times New Roman"/>
          <w:b w:val="0"/>
          <w:i w:val="0"/>
          <w:sz w:val="24"/>
        </w:rPr>
        <w:t xml:space="preserve"> [Если недействительна часть:] Статьёй 180 ГК РФ установлено: «Недействительность части сделки не влечет недействительности прочих ее частей, если можно предположить, что сделка была бы совершена и без включения недействительной ее части.»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 установлено: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[истец узнал о начале исполнения «[дата]»], трёхлетний срок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167, 168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