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общество (участник общества)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контрагент по сделке: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сделки недействительной как совершённой с превышением ограничений полномочий органа юридического лица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недействительной сделки, совершённой с нарушением ограничений полномочий директора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пункт 1 статьи 174 ГК РФ: полномочия директора ограничены уставом, а другая сторона знала или заведомо должна была знать об ограничениях (части 1 и 2 статьи 288 АПК РФ).</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Ограничение полномочий учредительными документами.</w:t>
      </w:r>
      <w:r>
        <w:rPr>
          <w:rFonts w:ascii="Times New Roman" w:hAnsi="Times New Roman"/>
          <w:b w:val="0"/>
          <w:i w:val="0"/>
          <w:sz w:val="24"/>
        </w:rPr>
        <w:t xml:space="preserve"> Пунктом 1 статьи 174 ГК РФ установлено: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pPr>
        <w:spacing w:after="120" w:line="276" w:lineRule="auto"/>
        <w:ind w:firstLine="709"/>
        <w:jc w:val="both"/>
      </w:pPr>
      <w:r>
        <w:rPr>
          <w:rFonts w:ascii="Times New Roman" w:hAnsi="Times New Roman"/>
          <w:b/>
          <w:i w:val="0"/>
          <w:sz w:val="24"/>
        </w:rPr>
        <w:t>Осведомлённость ответчика.</w:t>
      </w:r>
      <w:r>
        <w:rPr>
          <w:rFonts w:ascii="Times New Roman" w:hAnsi="Times New Roman"/>
          <w:b w:val="0"/>
          <w:i w:val="0"/>
          <w:sz w:val="24"/>
        </w:rPr>
        <w:t xml:space="preserve"> Ответчик знал или должен был знать об ограничении: [ограничение отражено в ЕГРЮЛ, сведения которого считаются известными всем лицам / ответчик запрашивал устав истца и получил его «[дата]» / в переговорах обсуждалась необходимость одобрения]. Пунктом 2 статьи 51 ГК РФ установлено, что лицо, полагающееся на данные ЕГРЮЛ, вправе исходить из того, что они соответствуют действительности, — но и ограничения, внесённые в реестр, противопоставимы ответчику [изложено своими словами].</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2 статьи 166 ГК РФ предусмотрено: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spacing w:after="120" w:line="276" w:lineRule="auto"/>
        <w:ind w:firstLine="709"/>
        <w:jc w:val="both"/>
      </w:pPr>
      <w:r>
        <w:rPr>
          <w:rFonts w:ascii="Times New Roman" w:hAnsi="Times New Roman"/>
          <w:b/>
          <w:i w:val="0"/>
          <w:sz w:val="24"/>
        </w:rPr>
        <w:t>Одобрение отсутствует.</w:t>
      </w:r>
      <w:r>
        <w:rPr>
          <w:rFonts w:ascii="Times New Roman" w:hAnsi="Times New Roman"/>
          <w:b w:val="0"/>
          <w:i w:val="0"/>
          <w:sz w:val="24"/>
        </w:rPr>
        <w:t xml:space="preserve"> Последующего одобрения сделки уполномоченным органом не было; решение от «[дата]» подтверждает несогласие участников.</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53, 166, 167, 174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