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собственник помещения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управляющая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задолженности по оплате жилого помещения и коммунальных услуг отсутствующей и обязании исключить её из платёжных документов</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задолженности по оплате жилого помещения и коммунальных услуг отсутствующей [в части] и исключении её из платёжных документов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153 ЖК РФ, 196 и 408 ГК РФ: задолженность погашена [или возникла до перехода права к истцу, или за пределами исковой давности], а включение её в платёжные документы нарушает права потребителя (части 1 и 2 статьи 379.7 ГПК РФ).</w:t>
      </w:r>
    </w:p>
    <w:p>
      <w:pPr>
        <w:spacing w:after="120" w:line="276" w:lineRule="auto"/>
        <w:ind w:firstLine="709"/>
        <w:jc w:val="both"/>
      </w:pPr>
      <w:r>
        <w:rPr>
          <w:rFonts w:ascii="Times New Roman" w:hAnsi="Times New Roman"/>
          <w:b/>
          <w:i w:val="0"/>
          <w:sz w:val="24"/>
        </w:rPr>
        <w:t>Обязанность платить — с момента возникновения права.</w:t>
      </w:r>
      <w:r>
        <w:rPr>
          <w:rFonts w:ascii="Times New Roman" w:hAnsi="Times New Roman"/>
          <w:b w:val="0"/>
          <w:i w:val="0"/>
          <w:sz w:val="24"/>
        </w:rPr>
        <w:t xml:space="preserve"> Пунктом 5 части 2 статьи 153 ЖК РФ обязанность по внесению платы возникает у «собственника помещения с момента возникновения права собственности на такое помещение с учетом правила, установленного частью 3 статьи 169 настоящего Кодекса» Долги предыдущего собственника на нового не переходят [за исключением взносов на капитальный ремонт — ч. 3 ст. 158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spacing w:after="120" w:line="276" w:lineRule="auto"/>
        <w:ind w:firstLine="709"/>
        <w:jc w:val="both"/>
      </w:pPr>
      <w:r>
        <w:rPr>
          <w:rFonts w:ascii="Times New Roman" w:hAnsi="Times New Roman"/>
          <w:b/>
          <w:i w:val="0"/>
          <w:sz w:val="24"/>
        </w:rPr>
        <w:t>Исполнение прекращает обязательство.</w:t>
      </w:r>
      <w:r>
        <w:rPr>
          <w:rFonts w:ascii="Times New Roman" w:hAnsi="Times New Roman"/>
          <w:b w:val="0"/>
          <w:i w:val="0"/>
          <w:sz w:val="24"/>
        </w:rPr>
        <w:t xml:space="preserve"> Пунктом 1 статьи 408 ГК РФ: «Надлежащее исполнение прекращает обязательство.»</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Пунктом 2 статьи 199 ГК РФ установлено, что истечение срока исковой давности является основанием к отказу в иске. Отражение в платёжных документах долга, взыскать который ответчик уже не может, нарушает права истца и создаёт угрозу ограничения коммунальных услуг.</w:t>
      </w:r>
    </w:p>
    <w:p>
      <w:pPr>
        <w:spacing w:after="120" w:line="276" w:lineRule="auto"/>
        <w:ind w:firstLine="709"/>
        <w:jc w:val="both"/>
      </w:pPr>
      <w:r>
        <w:rPr>
          <w:rFonts w:ascii="Times New Roman" w:hAnsi="Times New Roman"/>
          <w:b/>
          <w:i w:val="0"/>
          <w:sz w:val="24"/>
        </w:rPr>
        <w:t>Информация о плате.</w:t>
      </w:r>
      <w:r>
        <w:rPr>
          <w:rFonts w:ascii="Times New Roman" w:hAnsi="Times New Roman"/>
          <w:b w:val="0"/>
          <w:i w:val="0"/>
          <w:sz w:val="24"/>
        </w:rPr>
        <w:t xml:space="preserve"> Пунктом 1 статьи 10 Закона РФ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предусмотрена защита путём «признания права» и «восстановления положения, существовавшего до нарушения права, и пресечения действий, нарушающих право или создающих угрозу его нарушения»</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«О защите прав потребителей» (преамбула Закона; постановление Пленума Верховного Суда РФ от 28.06.2012 № 17 «О рассмотрении судами гражданских дел по спорам о защите прав потребителей»).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Пунктом 6 статьи 13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196, 199, 408 ГК РФ, статьёй 153 ЖК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