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собственник помещения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управляющая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договора управления многоквартирным домом расторгнутым в связи с односторонним отказом собственников</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договора управления многоквартирным домом расторгнутым и обязании передать техническую документацию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части 8 и 8.2 статьи 162 ЖК РФ: собственники вправе отказаться от договора при невыполнении управляющей организацией его условий, решение общего собрания принято и обязательно (части 1 и 2 статьи 379.7 ГПК РФ).</w:t>
      </w:r>
    </w:p>
    <w:p>
      <w:pPr>
        <w:spacing w:after="120" w:line="276" w:lineRule="auto"/>
        <w:ind w:firstLine="709"/>
        <w:jc w:val="both"/>
      </w:pPr>
      <w:r>
        <w:rPr>
          <w:rFonts w:ascii="Times New Roman" w:hAnsi="Times New Roman"/>
          <w:b/>
          <w:i w:val="0"/>
          <w:sz w:val="24"/>
        </w:rPr>
        <w:t>Право на односторонний отказ.</w:t>
      </w:r>
      <w:r>
        <w:rPr>
          <w:rFonts w:ascii="Times New Roman" w:hAnsi="Times New Roman"/>
          <w:b w:val="0"/>
          <w:i w:val="0"/>
          <w:sz w:val="24"/>
        </w:rPr>
        <w:t xml:space="preserve"> Частью 8.2 статьи 162 ЖК РФ: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w:t>
      </w:r>
    </w:p>
    <w:p>
      <w:pPr>
        <w:spacing w:after="120" w:line="276" w:lineRule="auto"/>
        <w:ind w:firstLine="709"/>
        <w:jc w:val="both"/>
      </w:pPr>
      <w:r>
        <w:rPr>
          <w:rFonts w:ascii="Times New Roman" w:hAnsi="Times New Roman"/>
          <w:b/>
          <w:i w:val="0"/>
          <w:sz w:val="24"/>
        </w:rPr>
        <w:t>Порядок расторжения.</w:t>
      </w:r>
      <w:r>
        <w:rPr>
          <w:rFonts w:ascii="Times New Roman" w:hAnsi="Times New Roman"/>
          <w:b w:val="0"/>
          <w:i w:val="0"/>
          <w:sz w:val="24"/>
        </w:rPr>
        <w:t xml:space="preserve"> Частью 8 статьи 162 ЖК РФ: «Изменение и (или) расторжение договора управления многоквартирным домом осуществляются в порядке, предусмотренном гражданским законодательством.» Пунктом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Пунктом 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pPr>
        <w:spacing w:after="120" w:line="276" w:lineRule="auto"/>
        <w:ind w:firstLine="709"/>
        <w:jc w:val="both"/>
      </w:pPr>
      <w:r>
        <w:rPr>
          <w:rFonts w:ascii="Times New Roman" w:hAnsi="Times New Roman"/>
          <w:b/>
          <w:i w:val="0"/>
          <w:sz w:val="24"/>
        </w:rPr>
        <w:t>Невыполнение условий договора.</w:t>
      </w:r>
      <w:r>
        <w:rPr>
          <w:rFonts w:ascii="Times New Roman" w:hAnsi="Times New Roman"/>
          <w:b w:val="0"/>
          <w:i w:val="0"/>
          <w:sz w:val="24"/>
        </w:rPr>
        <w:t xml:space="preserve"> Частью 2.3 статьи 161 ЖК РФ: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статьей 157.2 настоящего Кодекса, за обеспечение готовности инженерных систем.» Невыполнение ответчиком обязанностей подтверждается [актами, предписаниями ГЖИ, обращениями жителей].</w:t>
      </w:r>
    </w:p>
    <w:p>
      <w:pPr>
        <w:spacing w:after="120" w:line="276" w:lineRule="auto"/>
        <w:ind w:firstLine="709"/>
        <w:jc w:val="both"/>
      </w:pPr>
      <w:r>
        <w:rPr>
          <w:rFonts w:ascii="Times New Roman" w:hAnsi="Times New Roman"/>
          <w:b/>
          <w:i w:val="0"/>
          <w:sz w:val="24"/>
        </w:rPr>
        <w:t>Передача документации.</w:t>
      </w:r>
      <w:r>
        <w:rPr>
          <w:rFonts w:ascii="Times New Roman" w:hAnsi="Times New Roman"/>
          <w:b w:val="0"/>
          <w:i w:val="0"/>
          <w:sz w:val="24"/>
        </w:rPr>
        <w:t xml:space="preserve"> Частью 10 статьи 162 ЖК РФ: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pPr>
        <w:spacing w:after="120" w:line="276" w:lineRule="auto"/>
        <w:ind w:firstLine="709"/>
        <w:jc w:val="both"/>
      </w:pPr>
      <w:r>
        <w:rPr>
          <w:rFonts w:ascii="Times New Roman" w:hAnsi="Times New Roman"/>
          <w:b/>
          <w:i w:val="0"/>
          <w:sz w:val="24"/>
        </w:rPr>
        <w:t>Обязательность решения собрания.</w:t>
      </w:r>
      <w:r>
        <w:rPr>
          <w:rFonts w:ascii="Times New Roman" w:hAnsi="Times New Roman"/>
          <w:b w:val="0"/>
          <w:i w:val="0"/>
          <w:sz w:val="24"/>
        </w:rPr>
        <w:t xml:space="preserve"> Частью 5 статьи 46 ЖК РФ: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pPr>
        <w:spacing w:after="120" w:line="276" w:lineRule="auto"/>
        <w:ind w:firstLine="709"/>
        <w:jc w:val="both"/>
      </w:pPr>
      <w:r>
        <w:rPr>
          <w:rFonts w:ascii="Times New Roman" w:hAnsi="Times New Roman"/>
          <w:b/>
          <w:i w:val="0"/>
          <w:sz w:val="24"/>
        </w:rPr>
        <w:t>Один дом — одна УК.</w:t>
      </w:r>
      <w:r>
        <w:rPr>
          <w:rFonts w:ascii="Times New Roman" w:hAnsi="Times New Roman"/>
          <w:b w:val="0"/>
          <w:i w:val="0"/>
          <w:sz w:val="24"/>
        </w:rPr>
        <w:t xml:space="preserve"> Частью 9 статьи 161 ЖК РФ: «Многоквартирный дом может управляться только одной управляющей организацией.»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46, 161, 162 ЖК РФ, статьёй 450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