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суммы, уплаченной поручителем кредитору за должника, процентов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суммы, уплаченной поручителем кредитору за должника, процентов и убытков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365 ГК РФ: к поручителю, исполнившему обязательство, перешли права кредитора, и он вправе требовать от должника уплаченную сумму, проценты и убытки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 кредитора к поручителю.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365 Гражданского кодекса Российской Федерации (далее — ГК РФ) «К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должника.» Аналогичное правило закреплено в пункте 1 статьи 387 ГК РФ: «Права кредитора по обязательству переходят к другому лицу на основании закона при наступлении указанных в нем обстоятельств:» «вследствие исполнения обязательства поручителем должника или не являющимся должником по этому обязательству залогодателем»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384 ГК РФ определён объём перешедших прав: «Если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проценты.» Следовательно, истец, полностью погасивший долг ответчика, вправе требовать с ответчика всю уплаченную Кредитору сумму, а также проценты и иные убытки, связанные с ответственностью за должника.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365 ГК РФ предусмотрено: «По исполнении поручителем обязательства кредитор обязан вручить поручителю документы, удостоверяющие требование к должнику, и передать права, обеспечивающие это требование.» Документы, удостоверяющие требование к должнику, получены истцом от Кредитора и прилагаются к иску.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пользование чужими средствами.</w:t>
      </w:r>
      <w:r>
        <w:rPr>
          <w:rFonts w:ascii="Times New Roman" w:hAnsi="Times New Roman"/>
          <w:b w:val="0"/>
          <w:i w:val="0"/>
          <w:sz w:val="24"/>
        </w:rPr>
        <w:t xml:space="preserve"> Право поручителя на проценты на сумму, выплаченную кредитору, прямо закреплено вторым предложением пункта 1 статьи 365 ГК РФ, процитированного выше. Кроме того, после получения требования ответчик неправомерно удерживает денежные средства истца, что влечёт ответственность по пункту 1 статьи 395 ГК РФ: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Сумма процентов за период с «[дата уплаты долга кредитору]» по «[дата составления иска]» составляет [сумма] рублей (расчёт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В связи с ответственностью за ответчика истец понёс расходы: [исполнительский сбор / взысканные с поручителя судебные расходы Кредитора / комиссии банка — указать] в общей сумме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201 ГК РФ «Перемена лиц в обязательстве не влечет изменения срока исковой давности и порядка его исчисления.» Истец исполнил обязательство «[дата]», требование к ответчику предъявлено в пределах общего трёхлетнего срока (п. 1 ст. 196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201, 365, 395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