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страховщик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причинитель вреда: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ущерба в порядке суброгации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ущерба в порядке суброгации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965 и 1064 ГК РФ: к страховщику, выплатившему возмещение, перешло право требования к лицу, ответственному за убытки, а вина ответчика подтверждена (части 1 и 2 статьи 288 АПК РФ).</w:t>
      </w:r>
    </w:p>
    <w:p>
      <w:pPr>
        <w:spacing w:after="120" w:line="276" w:lineRule="auto"/>
        <w:ind w:firstLine="709"/>
        <w:jc w:val="both"/>
      </w:pPr>
      <w:r>
        <w:rPr>
          <w:rFonts w:ascii="Times New Roman" w:hAnsi="Times New Roman"/>
          <w:b/>
          <w:i w:val="0"/>
          <w:sz w:val="24"/>
        </w:rPr>
        <w:t>Суброгация.</w:t>
      </w:r>
      <w:r>
        <w:rPr>
          <w:rFonts w:ascii="Times New Roman" w:hAnsi="Times New Roman"/>
          <w:b w:val="0"/>
          <w:i w:val="0"/>
          <w:sz w:val="24"/>
        </w:rPr>
        <w:t xml:space="preserve"> Пунктом 1 статьи 965 ГК РФ установлено: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 Согласно пункту 2 той же статьи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line="276" w:lineRule="auto"/>
        <w:ind w:firstLine="709"/>
        <w:jc w:val="both"/>
      </w:pPr>
      <w:r>
        <w:rPr>
          <w:rFonts w:ascii="Times New Roman" w:hAnsi="Times New Roman"/>
          <w:b/>
          <w:i w:val="0"/>
          <w:sz w:val="24"/>
        </w:rPr>
        <w:t>Ответственность причинителя вреда.</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за работника и владельца источника повышенной опасности.</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[Для ДТП:] Пунктом 1 статьи 1079 ГК РФ предусмотрено: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Пунктом 3 той же статьи установлено: «Вред, причиненный в результате взаимодействия источников повышенной опасности их владельцам, возмещается на общих основаниях (статья 1064).»</w:t>
      </w:r>
    </w:p>
    <w:p>
      <w:pPr>
        <w:spacing w:after="120" w:line="276" w:lineRule="auto"/>
        <w:ind w:firstLine="709"/>
        <w:jc w:val="both"/>
      </w:pPr>
      <w:r>
        <w:rPr>
          <w:rFonts w:ascii="Times New Roman" w:hAnsi="Times New Roman"/>
          <w:b/>
          <w:i w:val="0"/>
          <w:sz w:val="24"/>
        </w:rPr>
        <w:t>Возмещение сверх страхового возмещения по ОСАГО.</w:t>
      </w:r>
      <w:r>
        <w:rPr>
          <w:rFonts w:ascii="Times New Roman" w:hAnsi="Times New Roman"/>
          <w:b w:val="0"/>
          <w:i w:val="0"/>
          <w:sz w:val="24"/>
        </w:rPr>
        <w:t xml:space="preserve"> Статьёй 1072 ГК РФ установлено: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Ущерб, превышающий сумму, возмещённую страховщиком ответственности ответчика, подлежит взысканию с ответчика.</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Сумма выплаты истца определена по [калькуляции / счёту СТОА] и соответствует реальному ущербу; ответчик вправе доказывать иной размер, но не за счёт применения Единой методики, которая регулирует только отношения по ОСАГО.</w:t>
      </w:r>
    </w:p>
    <w:p>
      <w:pPr>
        <w:spacing w:after="120" w:line="276" w:lineRule="auto"/>
        <w:ind w:firstLine="709"/>
        <w:jc w:val="both"/>
      </w:pPr>
      <w:r>
        <w:rPr>
          <w:rFonts w:ascii="Times New Roman" w:hAnsi="Times New Roman"/>
          <w:b/>
          <w:i w:val="0"/>
          <w:sz w:val="24"/>
        </w:rPr>
        <w:t>Обязанность возместить вред в полном объёме.</w:t>
      </w:r>
      <w:r>
        <w:rPr>
          <w:rFonts w:ascii="Times New Roman" w:hAnsi="Times New Roman"/>
          <w:b w:val="0"/>
          <w:i w:val="0"/>
          <w:sz w:val="24"/>
        </w:rPr>
        <w:t xml:space="preserve">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387, 965, 1064, 1068, 1079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