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поставщик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покупатель: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убытков, возникших в связи с расторжением договора поставки вследствие нарушения обязательств покупателем</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убытков, возникших в связи с расторжением договора поставки вследствие нарушения обязательства покупателем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393.1 и 524 ГК РФ: договор расторгнут из-за нарушения покупателем, поставщик продал товар другому лицу по более низкой цене и вправе взыскать разницу (части 1 и 2 статьи 288 АПК РФ).</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506 Гражданского кодекса Российской Федерации (далее — ГК РФ)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В силу пункта 5 статьи 454 ГК РФ «К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настоящим параграфом, применяются, если иное не предусмотрено правилами настоящего Кодекса об этих видах договоров.» Поэтому к отношениям сторон, помимо правил о поставке (статьи 506–524 ГК РФ), применяются общие положения о купле-продаже.</w:t>
      </w:r>
    </w:p>
    <w:p>
      <w:pPr>
        <w:spacing w:after="120" w:line="276" w:lineRule="auto"/>
        <w:ind w:firstLine="709"/>
        <w:jc w:val="both"/>
      </w:pPr>
      <w:r>
        <w:rPr>
          <w:rFonts w:ascii="Times New Roman" w:hAnsi="Times New Roman"/>
          <w:b/>
          <w:i w:val="0"/>
          <w:sz w:val="24"/>
        </w:rPr>
        <w:t>Существенное нарушение договора покупателем.</w:t>
      </w:r>
      <w:r>
        <w:rPr>
          <w:rFonts w:ascii="Times New Roman" w:hAnsi="Times New Roman"/>
          <w:b w:val="0"/>
          <w:i w:val="0"/>
          <w:sz w:val="24"/>
        </w:rPr>
        <w:t xml:space="preserve"> Пунктом 1 статьи 523 ГК РФ установлено: «Односторонний отказ от исполнения договора поставки (полностью или частично) или одностороннее его изменение допускаются в случае существенного нарушения договора одной из сторон (абзац четвертый пункта 2 статьи 450).» Согласно пункту 3 той же статьи «Нарушение договора поставки покупателем предполагается существенным в случаях:» «неоднократного нарушения сроков оплаты товаров»; «неоднократной невыборки товаров.». Абзацем четвёртым пункта 2 статьи 450 ГК РФ определено: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pPr>
        <w:spacing w:after="120" w:line="276" w:lineRule="auto"/>
        <w:ind w:firstLine="709"/>
        <w:jc w:val="both"/>
      </w:pPr>
      <w:r>
        <w:rPr>
          <w:rFonts w:ascii="Times New Roman" w:hAnsi="Times New Roman"/>
          <w:b/>
          <w:i w:val="0"/>
          <w:sz w:val="24"/>
        </w:rPr>
        <w:t>Расторжение договора.</w:t>
      </w:r>
      <w:r>
        <w:rPr>
          <w:rFonts w:ascii="Times New Roman" w:hAnsi="Times New Roman"/>
          <w:b w:val="0"/>
          <w:i w:val="0"/>
          <w:sz w:val="24"/>
        </w:rPr>
        <w:t xml:space="preserve"> Пунктом 1 статьи 450.1 ГК РФ предусмотрено: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Согласно пункту 4 статьи 523 ГК РФ «Договор поставки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pPr>
        <w:spacing w:after="120" w:line="276" w:lineRule="auto"/>
        <w:ind w:firstLine="709"/>
        <w:jc w:val="both"/>
      </w:pPr>
      <w:r>
        <w:rPr>
          <w:rFonts w:ascii="Times New Roman" w:hAnsi="Times New Roman"/>
          <w:b/>
          <w:i w:val="0"/>
          <w:sz w:val="24"/>
        </w:rPr>
        <w:t>Убытки поставщика по замещающей сделке.</w:t>
      </w:r>
      <w:r>
        <w:rPr>
          <w:rFonts w:ascii="Times New Roman" w:hAnsi="Times New Roman"/>
          <w:b w:val="0"/>
          <w:i w:val="0"/>
          <w:sz w:val="24"/>
        </w:rPr>
        <w:t xml:space="preserve"> Пунктом 2 статьи 524 ГК РФ установлено: «Если в разумный срок после расторжения договора вследствие нарушения обязательства покупателем продавец продал товар другому лицу по более низкой, чем предусмотренная договором, но разумной цене, продавец может предъявить покупателю требование о возмещении убытков в виде разницы между установленной в договоре ценой и ценой по совершенной взамен сделке.» [Если замещающая сделка не совершена:] Пунктом 3 той же статьи предусмотрено: «Если после расторжения договора по основаниям, предусмотренным пунктами 1 и 2 настоящей статьи, не совершена сделка взамен расторгнутого договора и на данный товар имеется текущая цена, сторона может предъявить требование о возмещении убытков в виде разницы между ценой, установленной в договоре, и текущей ценой на момент расторжения договора.» «Текущей ценой признается цена, обычно взимавшаяся при сравнимых обстоятельствах за аналогичный товар в месте, где должна была быть осуществлена передача товара. Если в этом месте не существует текущей цены, может быть использована текущая цена, применявшаяся в другом месте, которое может служить разумной заменой, с учетом разницы в расходах по транспортировке товара.»</w:t>
      </w:r>
    </w:p>
    <w:p>
      <w:pPr>
        <w:spacing w:after="120" w:line="276" w:lineRule="auto"/>
        <w:ind w:firstLine="709"/>
        <w:jc w:val="both"/>
      </w:pPr>
      <w:r>
        <w:rPr>
          <w:rFonts w:ascii="Times New Roman" w:hAnsi="Times New Roman"/>
          <w:b w:val="0"/>
          <w:i w:val="0"/>
          <w:sz w:val="24"/>
        </w:rPr>
        <w:t>Аналогичное правило содержит пункт 1 статьи 393.1 ГК РФ: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 Пунктом 5 статьи 453 ГК РФ установлено: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причиненных изменением или расторжением договора.»</w:t>
      </w:r>
    </w:p>
    <w:p>
      <w:pPr>
        <w:spacing w:after="120" w:line="276" w:lineRule="auto"/>
        <w:ind w:firstLine="709"/>
        <w:jc w:val="both"/>
      </w:pPr>
      <w:r>
        <w:rPr>
          <w:rFonts w:ascii="Times New Roman" w:hAnsi="Times New Roman"/>
          <w:b/>
          <w:i w:val="0"/>
          <w:sz w:val="24"/>
        </w:rPr>
        <w:t>Иные убытки.</w:t>
      </w:r>
      <w:r>
        <w:rPr>
          <w:rFonts w:ascii="Times New Roman" w:hAnsi="Times New Roman"/>
          <w:b w:val="0"/>
          <w:i w:val="0"/>
          <w:sz w:val="24"/>
        </w:rPr>
        <w:t xml:space="preserve"> Согласно пункту 4 статьи 524 ГК РФ «Удовлетворение требований, предусмотренных пунктами 1, 2 и 3 настоящей статьи, не освобождает сторону, не исполнившую или ненадлежаще исполнившую обязательство, от возмещения иных убытков, причиненных другой стороне, на основании статьи 15 настоящего Кодекса.» Помимо разницы в цене, истец понёс расходы на хранение и [повторную] доставку товара в размере [сумма] рублей. Пунктом 2 статьи 393 ГК РФ определено: «Возмещение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w:t>
      </w:r>
    </w:p>
    <w:p>
      <w:pPr>
        <w:spacing w:after="120" w:line="276" w:lineRule="auto"/>
        <w:ind w:firstLine="709"/>
        <w:jc w:val="both"/>
      </w:pPr>
      <w:r>
        <w:rPr>
          <w:rFonts w:ascii="Times New Roman" w:hAnsi="Times New Roman"/>
          <w:b/>
          <w:i w:val="0"/>
          <w:sz w:val="24"/>
        </w:rPr>
        <w:t>Неустойка за просрочку оплаты поставленных ранее партий.</w:t>
      </w:r>
      <w:r>
        <w:rPr>
          <w:rFonts w:ascii="Times New Roman" w:hAnsi="Times New Roman"/>
          <w:b w:val="0"/>
          <w:i w:val="0"/>
          <w:sz w:val="24"/>
        </w:rPr>
        <w:t xml:space="preserve"> [Если не взыскана:] Пунктом [__] Договора предусмотрена пеня [0,1] % в день; за просрочки оплаты партий от «[дата]» неустойка составляет [сумма] рублей (пункт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Ответчик является коммерческой организацией [индивидуальным предпринимателем], договор заключён им в рамках предпринимательской деятельности, поэтому отсутствие денежных средств или нарушения со стороны его контрагентов не освобождают его от ответственности.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393.1, 524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