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убытков, причинённых прекращением договора подряда по вине подрядчика, в виде разницы в стоимости работ по замещающему договору</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убытков, причинённых прекращением договора подряда по вине подрядчика, в виде разницы в стоимости работ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393.1 ГК РФ: договор прекращён по вине подрядчика, заказчик заключил замещающий договор по разумной цене и вправе взыскать разницу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Основание отказа от договора.</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Пунктом 3 той же статьи предусмотрено: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Пунктом 1 статьи 708 ГК РФ установлено: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pPr>
        <w:spacing w:after="120" w:line="276" w:lineRule="auto"/>
        <w:ind w:firstLine="709"/>
        <w:jc w:val="both"/>
      </w:pPr>
      <w:r>
        <w:rPr>
          <w:rFonts w:ascii="Times New Roman" w:hAnsi="Times New Roman"/>
          <w:b w:val="0"/>
          <w:i w:val="0"/>
          <w:sz w:val="24"/>
        </w:rPr>
        <w:t>Договор прекращён с момента получения ответчиком уведомления (пункт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Убытки по замещающей сделке.</w:t>
      </w:r>
      <w:r>
        <w:rPr>
          <w:rFonts w:ascii="Times New Roman" w:hAnsi="Times New Roman"/>
          <w:b w:val="0"/>
          <w:i w:val="0"/>
          <w:sz w:val="24"/>
        </w:rPr>
        <w:t xml:space="preserve"> Пунктом 1 статьи 393.1 ГК РФ установлено: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Замещающий договор заключён в разумный срок — через [__] дней после прекращения Договора — и на сопоставимых условиях: тот же объём работ по той же проектной документации. Увеличение цены объясняется [ростом рыночных цен / необходимостью срочного завершения], а не расширением объёма.</w:t>
      </w:r>
    </w:p>
    <w:p>
      <w:pPr>
        <w:spacing w:after="120" w:line="276" w:lineRule="auto"/>
        <w:ind w:firstLine="709"/>
        <w:jc w:val="both"/>
      </w:pPr>
      <w:r>
        <w:rPr>
          <w:rFonts w:ascii="Times New Roman" w:hAnsi="Times New Roman"/>
          <w:b w:val="0"/>
          <w:i w:val="0"/>
          <w:sz w:val="24"/>
        </w:rPr>
        <w:t>Пунктом 5 статьи 453 ГК РФ предусмотрено: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 Согласно пункту 2 статьи 393 ГК РФ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spacing w:after="120" w:line="276" w:lineRule="auto"/>
        <w:ind w:firstLine="709"/>
        <w:jc w:val="both"/>
      </w:pPr>
      <w:r>
        <w:rPr>
          <w:rFonts w:ascii="Times New Roman" w:hAnsi="Times New Roman"/>
          <w:b/>
          <w:i w:val="0"/>
          <w:sz w:val="24"/>
        </w:rPr>
        <w:t>Иные убытки.</w:t>
      </w:r>
      <w:r>
        <w:rPr>
          <w:rFonts w:ascii="Times New Roman" w:hAnsi="Times New Roman"/>
          <w:b w:val="0"/>
          <w:i w:val="0"/>
          <w:sz w:val="24"/>
        </w:rPr>
        <w:t xml:space="preserve"> Пунктом 3 статьи 393.1 ГК РФ установлено: «Удовлетворение требований, предусмотренных пунктами 1 и 2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 Помимо разницы в цене, истец понёс расходы на [обследование объекта и фиксацию объёма работ ответчика, охрану объекта в период простоя, повторные согласования] в размере [сумма] рублей (пункт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393.1, 715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