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устранении препятствий в пользовании земельным участком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устранении препятствий в пользовании земельным участком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304 ГК РФ и статьи 60 и 62 ЗК РФ: забор ответчика установлен на участке истца, что подтверждено землеустроительной экспертизой, а нарушенное право подлежит восстановлению (части 1 и 2 статьи 379.7 ГПК РФ).</w:t>
      </w:r>
    </w:p>
    <w:p>
      <w:pPr>
        <w:spacing w:after="120" w:line="276" w:lineRule="auto"/>
        <w:ind w:firstLine="709"/>
        <w:jc w:val="both"/>
      </w:pPr>
      <w:r>
        <w:rPr>
          <w:rFonts w:ascii="Times New Roman" w:hAnsi="Times New Roman"/>
          <w:b/>
          <w:i w:val="0"/>
          <w:sz w:val="24"/>
        </w:rPr>
        <w:t>Земельный участок как объект права.</w:t>
      </w:r>
      <w:r>
        <w:rPr>
          <w:rFonts w:ascii="Times New Roman" w:hAnsi="Times New Roman"/>
          <w:b w:val="0"/>
          <w:i w:val="0"/>
          <w:sz w:val="24"/>
        </w:rPr>
        <w:t xml:space="preserve"> Пунктом 3 статьи 6 Земельного кодекса РФ (далее — ЗК РФ) установлено: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Статьёй 64 ЗК РФ: «Земельные споры рассматриваются в судебном порядке.»</w:t>
      </w:r>
    </w:p>
    <w:p>
      <w:pPr>
        <w:spacing w:after="120" w:line="276" w:lineRule="auto"/>
        <w:ind w:firstLine="709"/>
        <w:jc w:val="both"/>
      </w:pPr>
      <w:r>
        <w:rPr>
          <w:rFonts w:ascii="Times New Roman" w:hAnsi="Times New Roman"/>
          <w:b/>
          <w:i w:val="0"/>
          <w:sz w:val="24"/>
        </w:rPr>
        <w:t>Негаторный иск.</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Восстановление нарушенного права.</w:t>
      </w:r>
      <w:r>
        <w:rPr>
          <w:rFonts w:ascii="Times New Roman" w:hAnsi="Times New Roman"/>
          <w:b w:val="0"/>
          <w:i w:val="0"/>
          <w:sz w:val="24"/>
        </w:rPr>
        <w:t xml:space="preserve"> Пунктом 1 статьи 60 ЗК РФ: «Нарушенное право на земельный участок подлежит восстановлению в случаях:» «самовольного занятия земельного участка» Подпунктом 4 пункта 2 той же статьи действия, нарушающие права на землю, могут быть пресечены путём «восстановления положения, существовавшего до нарушения права, и пресечения действий, нарушающих право или создающих угрозу его нарушения.» Пунктом 2 статьи 62 ЗК РФ: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1 статьи 62 ЗК РФ: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законодательством.»</w:t>
      </w:r>
    </w:p>
    <w:p>
      <w:pPr>
        <w:spacing w:after="120" w:line="276" w:lineRule="auto"/>
        <w:ind w:firstLine="709"/>
        <w:jc w:val="both"/>
      </w:pPr>
      <w:r>
        <w:rPr>
          <w:rFonts w:ascii="Times New Roman" w:hAnsi="Times New Roman"/>
          <w:b w:val="0"/>
          <w:i w:val="0"/>
          <w:sz w:val="24"/>
        </w:rPr>
        <w:t>Согласно разъяснениям постановления Пленума Верховного Суда РФ и Пленума ВАС РФ от 29.04.2010 № 10/22, иск об устранении нарушений права, не связанных с лишением владения, подлежит удовлетворению,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случае, когда истец докажет, что имеется реальная угроза нарушения его права.</w:t>
      </w:r>
    </w:p>
    <w:p>
      <w:pPr>
        <w:spacing w:after="120" w:line="276" w:lineRule="auto"/>
        <w:ind w:firstLine="709"/>
        <w:jc w:val="both"/>
      </w:pPr>
      <w:r>
        <w:rPr>
          <w:rFonts w:ascii="Times New Roman" w:hAnsi="Times New Roman"/>
          <w:b w:val="0"/>
          <w:i w:val="0"/>
          <w:sz w:val="24"/>
        </w:rPr>
        <w:t>Нарушение подтверждено: границы участка истца установлены, сведения о них в ЕГРН ответчиком не оспорены; заключение кадастрового инженера с выносом точек на местность фиксирует занятие части участка.</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w:t>
      </w:r>
    </w:p>
    <w:p>
      <w:pPr>
        <w:spacing w:after="120" w:line="276" w:lineRule="auto"/>
        <w:ind w:firstLine="709"/>
        <w:jc w:val="both"/>
      </w:pPr>
      <w:r>
        <w:rPr>
          <w:rFonts w:ascii="Times New Roman" w:hAnsi="Times New Roman"/>
          <w:b/>
          <w:i w:val="0"/>
          <w:sz w:val="24"/>
        </w:rPr>
        <w:t>Судебная неустойка.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Землеустроительная экспертиза.</w:t>
      </w:r>
      <w:r>
        <w:rPr>
          <w:rFonts w:ascii="Times New Roman" w:hAnsi="Times New Roman"/>
          <w:b w:val="0"/>
          <w:i w:val="0"/>
          <w:sz w:val="24"/>
        </w:rPr>
        <w:t xml:space="preserve"> Для разрешения спора требуются специальные знания; истец ходатайствует о назначении судебной землеустроительной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60, 62 ЗК РФ, статьями 304, 308.3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