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об устранении препятствий в пользовании жилым помещением</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об устранении препятствий в пользовании жилым помещением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статью 304 ГК РФ и часть 4 статьи 3 ЖК РФ: ответчик препятствует истцу в пользовании принадлежащим ему помещением, а жилищные права не могут быть ограничены произвольно (части 1 и 2 статьи 379.7 ГПК РФ).</w:t>
      </w:r>
    </w:p>
    <w:p>
      <w:pPr>
        <w:spacing w:after="120" w:line="276" w:lineRule="auto"/>
        <w:ind w:firstLine="709"/>
        <w:jc w:val="both"/>
      </w:pPr>
      <w:r>
        <w:rPr>
          <w:rFonts w:ascii="Times New Roman" w:hAnsi="Times New Roman"/>
          <w:b/>
          <w:i w:val="0"/>
          <w:sz w:val="24"/>
        </w:rPr>
        <w:t>Защита от нарушений, не связанных с лишением владения.</w:t>
      </w:r>
      <w:r>
        <w:rPr>
          <w:rFonts w:ascii="Times New Roman" w:hAnsi="Times New Roman"/>
          <w:b w:val="0"/>
          <w:i w:val="0"/>
          <w:sz w:val="24"/>
        </w:rPr>
        <w:t xml:space="preserve"> Статьёй 304 ГК РФ установлено: «Собственник может требовать устранения всяких нарушений его права, хотя бы эти нарушения и не были соединены с лишением владения.» В силу статьи 305 ГК РФ «Права, предусмотренные статьями 301 - 304 настоящего Кодекса, принадлежат также лицу, хотя и не являющемуся собственником, но владеющему имуществом на праве пожизненного наследуемого владения, хозяйственного ведения, оперативного управления либо по иному основанию, предусмотренному законом или договором. Это лицо имеет право на защиту его владения также против собственника.»</w:t>
      </w:r>
    </w:p>
    <w:p>
      <w:pPr>
        <w:spacing w:after="120" w:line="276" w:lineRule="auto"/>
        <w:ind w:firstLine="709"/>
        <w:jc w:val="both"/>
      </w:pPr>
      <w:r>
        <w:rPr>
          <w:rFonts w:ascii="Times New Roman" w:hAnsi="Times New Roman"/>
          <w:b/>
          <w:i w:val="0"/>
          <w:sz w:val="24"/>
        </w:rPr>
        <w:t>Права собственника жилого помещения.</w:t>
      </w:r>
      <w:r>
        <w:rPr>
          <w:rFonts w:ascii="Times New Roman" w:hAnsi="Times New Roman"/>
          <w:b w:val="0"/>
          <w:i w:val="0"/>
          <w:sz w:val="24"/>
        </w:rPr>
        <w:t xml:space="preserve"> Пунктом 1 статьи 288 ГК РФ предусмотрено: «Собственник осуществляет права владения, пользования и распоряжения принадлежащим ему жилым помещением в соответствии с его назначением.» Частью 1 статьи 30 ЖК РФ установлено: «Собственник жилого помещения осуществляет права владения, пользования и распоряжения принадлежащим ему на праве собственности жилым помещением в соответствии с его назначением и пределами его использования, которые установлены настоящим Кодексом.» Частью 4 той же статьи: «Собственник жилого помещения обязан поддерживать данное помещение в надлежащем состоянии, не допуская бесхозяйственного обращения с ним, соблюдать права и законные интересы соседей, правила пользования жилыми помещениями, а также правила содержания общего имущества собственников помещений в многоквартирном доме.»</w:t>
      </w:r>
    </w:p>
    <w:p>
      <w:pPr>
        <w:spacing w:after="120" w:line="276" w:lineRule="auto"/>
        <w:ind w:firstLine="709"/>
        <w:jc w:val="both"/>
      </w:pPr>
      <w:r>
        <w:rPr>
          <w:rFonts w:ascii="Times New Roman" w:hAnsi="Times New Roman"/>
          <w:b/>
          <w:i w:val="0"/>
          <w:sz w:val="24"/>
        </w:rPr>
        <w:t>Пользование общим имуществом.</w:t>
      </w:r>
      <w:r>
        <w:rPr>
          <w:rFonts w:ascii="Times New Roman" w:hAnsi="Times New Roman"/>
          <w:b w:val="0"/>
          <w:i w:val="0"/>
          <w:sz w:val="24"/>
        </w:rPr>
        <w:t xml:space="preserve"> [Для долевой собственности:] Пунктом 1 статьи 247 ГК РФ определено: «Владение и пользование имуществом, находящимся в долевой собственности, осуществляются по соглашению всех ее участников, а при недостижении согласия - в порядке, устанавливаемом судом.» [Для соцнайма:] частью 2 статьи 61 ЖК РФ установлено: «Наниматель жилого помещения в многоквартирном доме по договору социального найма данного жилого помещения приобретает право пользования общим имуществом в этом доме.»</w:t>
      </w:r>
    </w:p>
    <w:p>
      <w:pPr>
        <w:spacing w:after="120" w:line="276" w:lineRule="auto"/>
        <w:ind w:firstLine="709"/>
        <w:jc w:val="both"/>
      </w:pPr>
      <w:r>
        <w:rPr>
          <w:rFonts w:ascii="Times New Roman" w:hAnsi="Times New Roman"/>
          <w:b/>
          <w:i w:val="0"/>
          <w:sz w:val="24"/>
        </w:rPr>
        <w:t>Жилищные права не могут быть ограничены произвольно.</w:t>
      </w:r>
      <w:r>
        <w:rPr>
          <w:rFonts w:ascii="Times New Roman" w:hAnsi="Times New Roman"/>
          <w:b w:val="0"/>
          <w:i w:val="0"/>
          <w:sz w:val="24"/>
        </w:rPr>
        <w:t xml:space="preserve"> Частью 4 статьи 3 ЖК РФ установлено: «Никто не может быть выселен из жилища или ограничен в праве пользования жилищем, в том числе в праве получения коммунальных услуг, иначе как по основаниям и в порядке, которые предусмотрены настоящим Кодексом, другими федеральными законами.» Пунктом 2 статьи 1 ЖК РФ предусмотрено: «Граждане по своему усмотрению и в своих интересах осуществляют принадлежащие им жилищные права, в том числе распоряжаются ими. Граждане свободны в установлении и реализации своих жилищных прав в силу договора и (или) иных предусмотренных жилищным законодательством оснований. Граждане, осуществляя жилищные права и исполняя вытекающие из жилищных отношений обязанности, не должны нарушать права, свободы и законные интересы других граждан.»</w:t>
      </w:r>
    </w:p>
    <w:p>
      <w:pPr>
        <w:spacing w:after="120" w:line="276" w:lineRule="auto"/>
        <w:ind w:firstLine="709"/>
        <w:jc w:val="both"/>
      </w:pPr>
      <w:r>
        <w:rPr>
          <w:rFonts w:ascii="Times New Roman" w:hAnsi="Times New Roman"/>
          <w:b/>
          <w:i w:val="0"/>
          <w:sz w:val="24"/>
        </w:rPr>
        <w:t>Защита жилищных прав.</w:t>
      </w:r>
      <w:r>
        <w:rPr>
          <w:rFonts w:ascii="Times New Roman" w:hAnsi="Times New Roman"/>
          <w:b w:val="0"/>
          <w:i w:val="0"/>
          <w:sz w:val="24"/>
        </w:rPr>
        <w:t xml:space="preserve"> Частью 4 статьи 3 Жилищного кодекса Российской Федерации (далее — ЖК РФ) установлено: «Никто не может быть выселен из жилища или ограничен в праве пользования жилищем, в том числе в праве получения коммунальных услуг, иначе как по основаниям и в порядке, которые предусмотрены настоящим Кодексом, другими федеральными законами.» Согласно части 3 статьи 11 ЖК РФ защита жилищных прав осуществляется, в частности, путём «признания жилищного права», «восстановления положения, существовавшего до нарушения жилищного права, и пресечения действий, нарушающих это право или создающих угрозу его нарушения» и «прекращения или изменения жилищного правоотношения»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247, 288, 304 ГК РФ, статьёй 3 ЖК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