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включении имущества в состав наследства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включении имущества в состав наследства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1110 и 1112 ГК РФ: имущество принадлежало наследодателю [пай выплачен полностью / договор исполнен / право возникло до регистрации], и отсутствие регистрации этого не опровергает (части 1 и 2 статьи 379.7 ГПК РФ).</w:t>
      </w:r>
    </w:p>
    <w:p>
      <w:pPr>
        <w:spacing w:after="120" w:line="276" w:lineRule="auto"/>
        <w:ind w:firstLine="709"/>
        <w:jc w:val="both"/>
      </w:pPr>
      <w:r>
        <w:rPr>
          <w:rFonts w:ascii="Times New Roman" w:hAnsi="Times New Roman"/>
          <w:b/>
          <w:i w:val="0"/>
          <w:sz w:val="24"/>
        </w:rPr>
        <w:t>Открытие наследства.</w:t>
      </w:r>
      <w:r>
        <w:rPr>
          <w:rFonts w:ascii="Times New Roman" w:hAnsi="Times New Roman"/>
          <w:b w:val="0"/>
          <w:i w:val="0"/>
          <w:sz w:val="24"/>
        </w:rPr>
        <w:t xml:space="preserve"> Согласно статье 1113 Гражданского кодекса Российской Федерации (далее — ГК РФ) «Наследство открывается со смертью гражданина. Объявление судом гражданина умершим влечет за собой те же правовые последствия, что и смерть гражданина.» Пунктом 1 статьи 1114 ГК РФ установлено: «Временем открытия наследства является момент смерти гражданина. При объявлении гражданина умершим днем открытия наследства является день вступления в законную силу решения суда об объявлении гражданина умершим, а в случае, когда в соответствии с пунктом 3 статьи 45 настоящего Кодекса днем смерти гражданина признан день его предполагаемой гибели, - день и момент смерти, указанные в решении суда.» Статьёй 1112 ГК РФ определено: «В состав наследства входят принадлежавшие наследодателю на день открытия наследства вещи, иное имущество, в том числе имущественные права и обязанности.»</w:t>
      </w:r>
    </w:p>
    <w:p>
      <w:pPr>
        <w:spacing w:after="120" w:line="276" w:lineRule="auto"/>
        <w:ind w:firstLine="709"/>
        <w:jc w:val="both"/>
      </w:pPr>
      <w:r>
        <w:rPr>
          <w:rFonts w:ascii="Times New Roman" w:hAnsi="Times New Roman"/>
          <w:b/>
          <w:i w:val="0"/>
          <w:sz w:val="24"/>
        </w:rPr>
        <w:t>Имущество принадлежало наследодателю.</w:t>
      </w:r>
      <w:r>
        <w:rPr>
          <w:rFonts w:ascii="Times New Roman" w:hAnsi="Times New Roman"/>
          <w:b w:val="0"/>
          <w:i w:val="0"/>
          <w:sz w:val="24"/>
        </w:rPr>
        <w:t xml:space="preserve"> [Для полностью оплаченного пая:] Пунктом 4 статьи 218 ГК РФ установлено: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[Для договора купли-продажи и приватизации:] Воля наследодателя на приобретение имущества была выражена, он совершил все зависящие от него действия, а регистрация не состоялась лишь по причине его смерти. Отсутствие регистрации не лишает наследников права требовать включения имущества в наследственную массу.</w:t>
      </w:r>
    </w:p>
    <w:p>
      <w:pPr>
        <w:spacing w:after="120" w:line="276" w:lineRule="auto"/>
        <w:ind w:firstLine="709"/>
        <w:jc w:val="both"/>
      </w:pPr>
      <w:r>
        <w:rPr>
          <w:rFonts w:ascii="Times New Roman" w:hAnsi="Times New Roman"/>
          <w:b/>
          <w:i w:val="0"/>
          <w:sz w:val="24"/>
        </w:rPr>
        <w:t>Права и обязанности переходят к наследникам.</w:t>
      </w:r>
      <w:r>
        <w:rPr>
          <w:rFonts w:ascii="Times New Roman" w:hAnsi="Times New Roman"/>
          <w:b w:val="0"/>
          <w:i w:val="0"/>
          <w:sz w:val="24"/>
        </w:rPr>
        <w:t xml:space="preserve"> Пунктом 1 статьи 1110 ГК РФ предусмотрено: «При наследовании имущество умершего (наследство, наследственное имущество) переходит к другим лицам в порядке универсального правопреемства, то есть в неизменном виде как единое целое и в один и тот же момент, если из правил настоящего Кодекса не следует иное.» Абзацем вторым пункта 2 статьи 218 ГК РФ установлено: «В случае смерти гражданина право собственности на принадлежавшее ему имущество переходит по наследству к другим лицам в соответствии с завещанием или законом.»</w:t>
      </w:r>
    </w:p>
    <w:p>
      <w:pPr>
        <w:spacing w:after="120" w:line="276" w:lineRule="auto"/>
        <w:ind w:firstLine="709"/>
        <w:jc w:val="both"/>
      </w:pPr>
      <w:r>
        <w:rPr>
          <w:rFonts w:ascii="Times New Roman" w:hAnsi="Times New Roman"/>
          <w:b/>
          <w:i w:val="0"/>
          <w:sz w:val="24"/>
        </w:rPr>
        <w:t>Принятие наследства.</w:t>
      </w:r>
      <w:r>
        <w:rPr>
          <w:rFonts w:ascii="Times New Roman" w:hAnsi="Times New Roman"/>
          <w:b w:val="0"/>
          <w:i w:val="0"/>
          <w:sz w:val="24"/>
        </w:rPr>
        <w:t xml:space="preserve"> Пунктом 1 статьи 1152 ГК РФ установлено: «Для приобретения наследства наследник должен его принять.» Согласно пункту 1 статьи 1153 ГК РФ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Пунктом 2 той же статьи предусмотрено: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Пунктом 1 статьи 1154 ГК РФ определён срок: «Наследство может быть принято в течение шести месяцев со дня открытия наследства.» В силу пункта 4 статьи 1152 ГК РФ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w:t>
      </w:r>
    </w:p>
    <w:p>
      <w:pPr>
        <w:spacing w:after="120" w:line="276" w:lineRule="auto"/>
        <w:ind w:firstLine="709"/>
        <w:jc w:val="both"/>
      </w:pPr>
      <w:r>
        <w:rPr>
          <w:rFonts w:ascii="Times New Roman" w:hAnsi="Times New Roman"/>
          <w:b/>
          <w:i w:val="0"/>
          <w:sz w:val="24"/>
        </w:rPr>
        <w:t>Способ защиты.</w:t>
      </w:r>
      <w:r>
        <w:rPr>
          <w:rFonts w:ascii="Times New Roman" w:hAnsi="Times New Roman"/>
          <w:b w:val="0"/>
          <w:i w:val="0"/>
          <w:sz w:val="24"/>
        </w:rPr>
        <w:t xml:space="preserve"> Статьёй 12 ГК РФ предусмотрена защита права путём «признания права» Разъяснения по применению этих норм даны в постановлении Пленума Верховного Суда РФ от 29.05.2012 № 9 «О судебной практике по делам о наследовании». Если наследодатель при жизни подал заявление о приватизации, но умер до её оформления, жилое помещение может быть включено в наследственную массу (п. 8 постановления Пленума Верховного Суда РФ от 24.08.1993 № 8 «О некоторых вопросах применения судами Закона Российской Федерации "О приватизации жилищного фонда в Российской Федерации"»).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 218, 1110, 1112, 1152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