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арендатор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неотделимых улучшений арендованного имущества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неотделимых улучшений арендованного имущества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2 статьи 623 ГК РФ: улучшения произведены с согласия арендодателя, поэтому их стоимость подлежит возмещению после прекращения договора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Неотделимые улучшения.</w:t>
      </w:r>
      <w:r>
        <w:rPr>
          <w:rFonts w:ascii="Times New Roman" w:hAnsi="Times New Roman"/>
          <w:b w:val="0"/>
          <w:i w:val="0"/>
          <w:sz w:val="24"/>
        </w:rPr>
        <w:t xml:space="preserve"> Пунктом 2 статьи 623 ГК РФ установлено: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 Все три условия соблюдены: улучшения произведены за счёт собственных средств истца, с письменного согласия ответчика и не отделимы без вреда для имущества. Договор не исключает возмещение их стоимости. Для сравнения, пунктом 3 той же статьи предусмотрено: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pPr>
        <w:spacing w:after="120" w:line="276" w:lineRule="auto"/>
        <w:ind w:firstLine="709"/>
        <w:jc w:val="both"/>
      </w:pPr>
      <w:r>
        <w:rPr>
          <w:rFonts w:ascii="Times New Roman" w:hAnsi="Times New Roman"/>
          <w:b/>
          <w:i w:val="0"/>
          <w:sz w:val="24"/>
        </w:rPr>
        <w:t>Ремонт, не относящийся к обязанностям арендатора.</w:t>
      </w:r>
      <w:r>
        <w:rPr>
          <w:rFonts w:ascii="Times New Roman" w:hAnsi="Times New Roman"/>
          <w:b w:val="0"/>
          <w:i w:val="0"/>
          <w:sz w:val="24"/>
        </w:rPr>
        <w:t xml:space="preserve"> Пунктом 2 статьи 616 ГК РФ на арендатора возложено только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Выполненные истцом работы выходят за рамки текущего ремонта и содержания: [они относятся к капитальному ремонту / реконструкции инженерных систем / приведению помещения в состояние, пригодное для использования по назначению]. Пунктом 1 статьи 616 ГК РФ установлено: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pPr>
        <w:spacing w:after="120" w:line="276" w:lineRule="auto"/>
        <w:ind w:firstLine="709"/>
        <w:jc w:val="both"/>
      </w:pPr>
      <w:r>
        <w:rPr>
          <w:rFonts w:ascii="Times New Roman" w:hAnsi="Times New Roman"/>
          <w:b/>
          <w:i w:val="0"/>
          <w:sz w:val="24"/>
        </w:rPr>
        <w:t>Возврат имущества с улучшениями.</w:t>
      </w:r>
      <w:r>
        <w:rPr>
          <w:rFonts w:ascii="Times New Roman" w:hAnsi="Times New Roman"/>
          <w:b w:val="0"/>
          <w:i w:val="0"/>
          <w:sz w:val="24"/>
        </w:rPr>
        <w:t xml:space="preserve"> Статьёй 622 ГК РФ предусмотрено: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Ответчик получил помещение в лучшем состоянии, чем передал, и извлекает из этого выгоду.</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1 статьи 1105 ГК РФ предусмотрено: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line="276" w:lineRule="auto"/>
        <w:ind w:firstLine="709"/>
        <w:jc w:val="both"/>
      </w:pPr>
      <w:r>
        <w:rPr>
          <w:rFonts w:ascii="Times New Roman" w:hAnsi="Times New Roman"/>
          <w:b/>
          <w:i w:val="0"/>
          <w:sz w:val="24"/>
        </w:rPr>
        <w:t>Размер возмещения.</w:t>
      </w:r>
      <w:r>
        <w:rPr>
          <w:rFonts w:ascii="Times New Roman" w:hAnsi="Times New Roman"/>
          <w:b w:val="0"/>
          <w:i w:val="0"/>
          <w:sz w:val="24"/>
        </w:rPr>
        <w:t xml:space="preserve"> Стоимость улучшений определена [по фактическим затратам истца — [сумма] рублей / по заключению оценщика — [сумма] рублей с учётом износа на дату прекращения Договора].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616, 623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