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Российская Федерация [субъект РФ, муниципальное образование] в лице [главного распорядителя бюджетных средств]: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убытков, причинённых незаконными действиями (бездействием) государственного органа (должностного лица), за счёт казны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за счёт казны убытков, причинённых незаконными действиями (бездействием) государственного органа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16 и 1069 ГК РФ: незаконность действий органа установлена [судебным актом], а убытки находятся с ними в причинной связи (части 1 и 2 статьи 288 АПК РФ).</w:t>
      </w:r>
    </w:p>
    <w:p>
      <w:pPr>
        <w:spacing w:after="120" w:line="276" w:lineRule="auto"/>
        <w:ind w:firstLine="709"/>
        <w:jc w:val="both"/>
      </w:pPr>
      <w:r>
        <w:rPr>
          <w:rFonts w:ascii="Times New Roman" w:hAnsi="Times New Roman"/>
          <w:b/>
          <w:i w:val="0"/>
          <w:sz w:val="24"/>
        </w:rPr>
        <w:t>Возмещение убытков за счёт казны.</w:t>
      </w:r>
      <w:r>
        <w:rPr>
          <w:rFonts w:ascii="Times New Roman" w:hAnsi="Times New Roman"/>
          <w:b w:val="0"/>
          <w:i w:val="0"/>
          <w:sz w:val="24"/>
        </w:rPr>
        <w:t xml:space="preserve"> Статьёй 16 Гражданского кодекса Российской Федерации (далее — ГК РФ) установлено: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 Статьёй 1069 ГК РФ предусмотрено: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pPr>
        <w:spacing w:after="120" w:line="276" w:lineRule="auto"/>
        <w:ind w:firstLine="709"/>
        <w:jc w:val="both"/>
      </w:pPr>
      <w:r>
        <w:rPr>
          <w:rFonts w:ascii="Times New Roman" w:hAnsi="Times New Roman"/>
          <w:b/>
          <w:i w:val="0"/>
          <w:sz w:val="24"/>
        </w:rPr>
        <w:t>Надлежащий ответчик.</w:t>
      </w:r>
      <w:r>
        <w:rPr>
          <w:rFonts w:ascii="Times New Roman" w:hAnsi="Times New Roman"/>
          <w:b w:val="0"/>
          <w:i w:val="0"/>
          <w:sz w:val="24"/>
        </w:rPr>
        <w:t xml:space="preserve"> Статьёй 1071 ГК РФ установлено: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 лицо или гражданина.» В силу статьи 158 Бюджетного кодекса РФ от имени казны по искам о возмещении вреда, причинённого незаконными действиями должностных лиц, выступает главный распорядитель бюджетных средств по ведомственной принадлежности — [ФССП России / ФНС России / МВД России] [изложено своими словами].</w:t>
      </w:r>
    </w:p>
    <w:p>
      <w:pPr>
        <w:spacing w:after="120" w:line="276" w:lineRule="auto"/>
        <w:ind w:firstLine="709"/>
        <w:jc w:val="both"/>
      </w:pPr>
      <w:r>
        <w:rPr>
          <w:rFonts w:ascii="Times New Roman" w:hAnsi="Times New Roman"/>
          <w:b/>
          <w:i w:val="0"/>
          <w:sz w:val="24"/>
        </w:rPr>
        <w:t>Состав убытков.</w:t>
      </w:r>
      <w:r>
        <w:rPr>
          <w:rFonts w:ascii="Times New Roman" w:hAnsi="Times New Roman"/>
          <w:b w:val="0"/>
          <w:i w:val="0"/>
          <w:sz w:val="24"/>
        </w:rPr>
        <w:t xml:space="preserve">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Условия ответственности.</w:t>
      </w:r>
      <w:r>
        <w:rPr>
          <w:rFonts w:ascii="Times New Roman" w:hAnsi="Times New Roman"/>
          <w:b w:val="0"/>
          <w:i w:val="0"/>
          <w:sz w:val="24"/>
        </w:rPr>
        <w:t xml:space="preserve"> Для возмещения необходимы незаконность действий, наличие и размер убытков и причинная связь. Незаконность установлена судебным актом, имеющим преюдициальное значение (статья 69 АПК РФ). Причинная связь: [объяснение].</w:t>
      </w:r>
    </w:p>
    <w:p>
      <w:pPr>
        <w:spacing w:after="120" w:line="276" w:lineRule="auto"/>
        <w:ind w:firstLine="709"/>
        <w:jc w:val="both"/>
      </w:pPr>
      <w:r>
        <w:rPr>
          <w:rFonts w:ascii="Times New Roman" w:hAnsi="Times New Roman"/>
          <w:b/>
          <w:i w:val="0"/>
          <w:sz w:val="24"/>
        </w:rPr>
        <w:t>Возмещение в полном объёме.</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 1069, 1071 ГК РФ, статьёй 158 БК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