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убытков, причинённых повреждением арендованного имущества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убытков, причинённых повреждением арендованного имущества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615, 622 и 639 ГК РФ: имущество возвращено с повреждениями сверх нормального износа, а арендатор не доказал отсутствие своей вины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пользоваться имуществом надлежащим образом.</w:t>
      </w:r>
      <w:r>
        <w:rPr>
          <w:rFonts w:ascii="Times New Roman" w:hAnsi="Times New Roman"/>
          <w:b w:val="0"/>
          <w:i w:val="0"/>
          <w:sz w:val="24"/>
        </w:rPr>
        <w:t xml:space="preserve"> Пунктом 1 статьи 615 ГК РФ установлено: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pPr>
        <w:spacing w:after="120" w:line="276" w:lineRule="auto"/>
        <w:ind w:firstLine="709"/>
        <w:jc w:val="both"/>
      </w:pPr>
      <w:r>
        <w:rPr>
          <w:rFonts w:ascii="Times New Roman" w:hAnsi="Times New Roman"/>
          <w:b/>
          <w:i w:val="0"/>
          <w:sz w:val="24"/>
        </w:rPr>
        <w:t>Обязанность вернуть имущество в надлежащем состоянии.</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Выявленные повреждения не являются нормальным износом, что подтверждается заключением специалиста.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той же статьи предусмотрено: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Вина и бремя доказывания.</w:t>
      </w:r>
      <w:r>
        <w:rPr>
          <w:rFonts w:ascii="Times New Roman" w:hAnsi="Times New Roman"/>
          <w:b w:val="0"/>
          <w:i w:val="0"/>
          <w:sz w:val="24"/>
        </w:rPr>
        <w:t xml:space="preserve"> Пунктом 2 статьи 401 ГК РФ установлено: «Отсутствие вины доказывается лицом, нарушившим обязательство.» Согласно пункту 3 той же статьи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Имущество находилось во владении ответчика; повреждения возникли в период аренды.</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Пунктом 5 статьи 393 ГК РФ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 Размер определён заключением специалиста по рыночным ценам на работы и материалы.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615, 622, 639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