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ущерба, причинённого в результате наезда на выбоину на проезжей части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ущерба, причинённого в результате наезда на выбоину на проезжей части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15 и 1064 ГК РФ и статью 12 Закона о безопасности дорожного движения: выбоина превышала допустимые размеры, предупреждающих знаков не было, а лицо, обязанное содержать дорогу, не доказало отсутствие вины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Обязанность содержания дорог.</w:t>
      </w:r>
      <w:r>
        <w:rPr>
          <w:rFonts w:ascii="Times New Roman" w:hAnsi="Times New Roman"/>
          <w:b w:val="0"/>
          <w:i w:val="0"/>
          <w:sz w:val="24"/>
        </w:rPr>
        <w:t xml:space="preserve"> Статьёй 210 ГК РФ: «Собственник несет бремя содержания принадлежащего ему имущества, если иное не предусмотрено законом или договором.» Федеральным законом от 10.12.1995 № 196-ФЗ «О безопасности дорожного движения» (ст. 12) обязанность по обеспечению соответствия состояния дорог при их содержании установленным правилам, стандартам и техническим нормам возложена на лиц, осуществляющих содержание автомобильных дорог. Федеральным законом от 08.11.2007 № 257-ФЗ «Об автомобильных дорогах и о дорожной деятельности…» осуществление дорожной деятельности в отношении автомобильных дорог местного значения отнесено к полномочиям органов местного самоуправления.</w:t>
      </w:r>
    </w:p>
    <w:p>
      <w:pPr>
        <w:spacing w:after="120" w:line="276" w:lineRule="auto"/>
        <w:ind w:firstLine="709"/>
        <w:jc w:val="both"/>
      </w:pPr>
      <w:r>
        <w:rPr>
          <w:rFonts w:ascii="Times New Roman" w:hAnsi="Times New Roman"/>
          <w:b/>
          <w:i w:val="0"/>
          <w:sz w:val="24"/>
        </w:rPr>
        <w:t>Нарушение стандарта.</w:t>
      </w:r>
      <w:r>
        <w:rPr>
          <w:rFonts w:ascii="Times New Roman" w:hAnsi="Times New Roman"/>
          <w:b w:val="0"/>
          <w:i w:val="0"/>
          <w:sz w:val="24"/>
        </w:rPr>
        <w:t xml:space="preserve"> Национальным стандартом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не допускаются отдельные повреждения покрытия (выбоины, просадки, проломы) длиной 15 см и более, глубиной 5 см и более, площадью 0,06 м² и более; выявленные повреждения должны устраняться в установленные стандартом сроки, а до устранения — обозначаться. Размеры выбоины, на которую наехал истец, превышают допустимые.</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Ответчик не доказал отсутствие вины — что выбоина возникла непосредственно перед ДТП и срок её устранения не истёк, либо что опасный участок был обозначен.</w:t>
      </w:r>
    </w:p>
    <w:p>
      <w:pPr>
        <w:spacing w:after="120" w:line="276" w:lineRule="auto"/>
        <w:ind w:firstLine="709"/>
        <w:jc w:val="both"/>
      </w:pPr>
      <w:r>
        <w:rPr>
          <w:rFonts w:ascii="Times New Roman" w:hAnsi="Times New Roman"/>
          <w:b/>
          <w:i w:val="0"/>
          <w:sz w:val="24"/>
        </w:rPr>
        <w:t>Отсутствие грубой неосторожности водителя.</w:t>
      </w:r>
      <w:r>
        <w:rPr>
          <w:rFonts w:ascii="Times New Roman" w:hAnsi="Times New Roman"/>
          <w:b w:val="0"/>
          <w:i w:val="0"/>
          <w:sz w:val="24"/>
        </w:rPr>
        <w:t xml:space="preserve">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Выбоина была заполнена водой [не освещена / не видна в тёмное время], скоростной режим истцом не нарушался — у истца не было технической возможности обнаружить и объехать препятствие.</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1083 ГК РФ, статьёй 12 Федерального закона «О безопасности дорожного движения»,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