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возмещении ущерба, причинённого повреждением автомобиля в результате падения [снега и наледи с крыши здания / дерева]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возмещении ущерба, причинённого повреждением автомобиля в результате падения [снега, наледи, дерева]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статьи 210 и 1064 ГК РФ: лицо, обязанное содержать здание [территорию, зелёные насаждения], не обеспечило безопасность и не доказало отсутствие вины (части 1 и 2 статьи 379.7 ГПК РФ).</w:t>
      </w:r>
    </w:p>
    <w:p>
      <w:pPr>
        <w:spacing w:after="120" w:line="276" w:lineRule="auto"/>
        <w:ind w:firstLine="709"/>
        <w:jc w:val="both"/>
      </w:pPr>
      <w:r>
        <w:rPr>
          <w:rFonts w:ascii="Times New Roman" w:hAnsi="Times New Roman"/>
          <w:b/>
          <w:i w:val="0"/>
          <w:sz w:val="24"/>
        </w:rPr>
        <w:t>Общие основания ответственности.</w:t>
      </w:r>
      <w:r>
        <w:rPr>
          <w:rFonts w:ascii="Times New Roman" w:hAnsi="Times New Roman"/>
          <w:b w:val="0"/>
          <w:i w:val="0"/>
          <w:sz w:val="24"/>
        </w:rPr>
        <w:t xml:space="preserve"> Пунктом 1 статьи 1064 Гражданского кодекса Российской Федерации (далее — ГК РФ) установлено: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Согласно пункту 2 той же статьи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w:t>
      </w:r>
    </w:p>
    <w:p>
      <w:pPr>
        <w:spacing w:after="120" w:line="276" w:lineRule="auto"/>
        <w:ind w:firstLine="709"/>
        <w:jc w:val="both"/>
      </w:pPr>
      <w:r>
        <w:rPr>
          <w:rFonts w:ascii="Times New Roman" w:hAnsi="Times New Roman"/>
          <w:b/>
          <w:i w:val="0"/>
          <w:sz w:val="24"/>
        </w:rPr>
        <w:t>Бремя содержания имущества.</w:t>
      </w:r>
      <w:r>
        <w:rPr>
          <w:rFonts w:ascii="Times New Roman" w:hAnsi="Times New Roman"/>
          <w:b w:val="0"/>
          <w:i w:val="0"/>
          <w:sz w:val="24"/>
        </w:rPr>
        <w:t xml:space="preserve"> Статьёй 210 ГК РФ: «Собственник несет бремя содержания принадлежащего ему имущества, если иное не предусмотрено законом или договором.»</w:t>
      </w:r>
    </w:p>
    <w:p>
      <w:pPr>
        <w:spacing w:after="120" w:line="276" w:lineRule="auto"/>
        <w:ind w:firstLine="709"/>
        <w:jc w:val="both"/>
      </w:pPr>
      <w:r>
        <w:rPr>
          <w:rFonts w:ascii="Times New Roman" w:hAnsi="Times New Roman"/>
          <w:b/>
          <w:i w:val="0"/>
          <w:sz w:val="24"/>
        </w:rPr>
        <w:t>[Для многоквартирного дома.]</w:t>
      </w:r>
      <w:r>
        <w:rPr>
          <w:rFonts w:ascii="Times New Roman" w:hAnsi="Times New Roman"/>
          <w:b w:val="0"/>
          <w:i w:val="0"/>
          <w:sz w:val="24"/>
        </w:rPr>
        <w:t xml:space="preserve"> Частью 1 статьи 161 ЖК РФ установлено: «Управление многоквартирным домом должно обеспечивать благоприятные и безопасные условия проживания граждан, надлежащее содержание общего имущества в многоквартирном доме, решение вопросов пользования указанным имуществом, а также предоставление коммунальных услуг гражданам, проживающим в таком доме, или в случаях, предусмотренных статьей 157.2 настоящего Кодекса, постоянную готовность инженерных коммуникаций и другого оборудования, входящих в состав общего имущества собственников помещений в многоквартирном доме, к предоставлению коммунальных услуг (далее - обеспечение готовности инженерных систем). Правительство Российской Федерации устанавливает стандарты и правила деятельности по управлению многоквартирными домами.» Частью 1.1: «Надлежащее содержание общего имущества собственников помещений в многоквартирном доме должно осуществляться в соответствии с требованиями законодательства Российской Федерации, в том числе в области обеспечения санитарно-эпидемиологического благополучия населения, о техническом регулировании, пожарной безопасности, защите прав потребителей, и должно обеспечивать:» «соблюдение требований к надежности и безопасности многоквартирного дома» «безопасность жизни и здоровья граждан, имущества физических лиц, имущества юридических лиц, государственного и муниципального имущества» Частью 2.3: «При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(или) выполнение работ,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правил содержания общего имущества в многоквартирном доме, за предоставление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 или в случаях, предусмотренных статьей 157.2 настоящего Кодекса, за обеспечение готовности инженерных систем.» Крыша и земельный участок с элементами озеленения входят в состав общего имущества; очистка кровли от снега и наледи, а также содержание зелёных насаждений на придомовой территории включены в минимальный перечень работ по содержанию общего имущества и Правила и нормы технической эксплуатации жилищного фонда.</w:t>
      </w:r>
    </w:p>
    <w:p>
      <w:pPr>
        <w:spacing w:after="120" w:line="276" w:lineRule="auto"/>
        <w:ind w:firstLine="709"/>
        <w:jc w:val="both"/>
      </w:pPr>
      <w:r>
        <w:rPr>
          <w:rFonts w:ascii="Times New Roman" w:hAnsi="Times New Roman"/>
          <w:b/>
          <w:i w:val="0"/>
          <w:sz w:val="24"/>
        </w:rPr>
        <w:t>[Для дерева на муниципальной территории.]</w:t>
      </w:r>
      <w:r>
        <w:rPr>
          <w:rFonts w:ascii="Times New Roman" w:hAnsi="Times New Roman"/>
          <w:b w:val="0"/>
          <w:i w:val="0"/>
          <w:sz w:val="24"/>
        </w:rPr>
        <w:t xml:space="preserve"> Организация благоустройства территории, включая озеленение, отнесена к вопросам местного значения; содержание зелёных насаждений на землях общего пользования осуществляется в соответствии с правилами благоустройства, утверждёнными органом местного самоуправления. Ненадлежащее исполнение этой обязанности является основанием ответственности по статье 1064 ГК РФ.</w:t>
      </w:r>
    </w:p>
    <w:p>
      <w:pPr>
        <w:spacing w:after="120" w:line="276" w:lineRule="auto"/>
        <w:ind w:firstLine="709"/>
        <w:jc w:val="both"/>
      </w:pPr>
      <w:r>
        <w:rPr>
          <w:rFonts w:ascii="Times New Roman" w:hAnsi="Times New Roman"/>
          <w:b/>
          <w:i w:val="0"/>
          <w:sz w:val="24"/>
        </w:rPr>
        <w:t>Полное возмещение убытков.</w:t>
      </w:r>
      <w:r>
        <w:rPr>
          <w:rFonts w:ascii="Times New Roman" w:hAnsi="Times New Roman"/>
          <w:b w:val="0"/>
          <w:i w:val="0"/>
          <w:sz w:val="24"/>
        </w:rPr>
        <w:t xml:space="preserve"> В силу пункта 1 статьи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Пунктом 2 той же статьи установлено: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Статьёй 1082 ГК РФ предусмотрено: «Удовлетворяя требование о возмещении вреда, суд в соответствии с обстоятельствами дела обязывает лицо, ответственное за причинение вреда, возместить вред в натуре (предоставить вещь того же рода и качества, исправить поврежденную вещь и т.п.) или возместить причиненные убытки (пункт 2 статьи 15).»</w:t>
      </w:r>
    </w:p>
    <w:p>
      <w:pPr>
        <w:spacing w:after="120" w:line="276" w:lineRule="auto"/>
        <w:ind w:firstLine="709"/>
        <w:jc w:val="both"/>
      </w:pPr>
      <w:r>
        <w:rPr>
          <w:rFonts w:ascii="Times New Roman" w:hAnsi="Times New Roman"/>
          <w:b w:val="0"/>
          <w:i w:val="0"/>
          <w:sz w:val="24"/>
        </w:rPr>
        <w:t>Согласно разъяснению, данному в пункте 13 постановления Пленума Верховного Суда РФ от 23.06.2015 № 25 «О применении судами некоторых положений раздела I части первой Гражданского кодекса Российской Федерации», если для устранения повреждений имущества истца использовались или будут использованы новые материалы, то за исключением случаев, установленных законом или договором, расходы на такое устранение включаются в состав реального ущерба полностью, несмотря на то, что стоимость имущества увеличилась или может увеличиться по сравнению с его стоимостью до повреждения.</w:t>
      </w:r>
    </w:p>
    <w:p>
      <w:pPr>
        <w:spacing w:after="120" w:line="276" w:lineRule="auto"/>
        <w:ind w:firstLine="709"/>
        <w:jc w:val="both"/>
      </w:pPr>
      <w:r>
        <w:rPr>
          <w:rFonts w:ascii="Times New Roman" w:hAnsi="Times New Roman"/>
          <w:b/>
          <w:i w:val="0"/>
          <w:sz w:val="24"/>
        </w:rPr>
        <w:t>Распределение бремени доказывания.</w:t>
      </w:r>
      <w:r>
        <w:rPr>
          <w:rFonts w:ascii="Times New Roman" w:hAnsi="Times New Roman"/>
          <w:b w:val="0"/>
          <w:i w:val="0"/>
          <w:sz w:val="24"/>
        </w:rPr>
        <w:t xml:space="preserve">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Истец доказывает факт причинения вреда, его размер и причинную связь с действиями (бездействием) ответчика; отсутствие вины доказывает ответчик (п. 2 ст. 1064 ГК РФ). Ответчик не доказал, что принял меры к своевременной очистке кровли (удалению аварийного дерева) и ограждению опасной зоны.</w:t>
      </w:r>
    </w:p>
    <w:p>
      <w:pPr>
        <w:spacing w:after="120" w:line="276" w:lineRule="auto"/>
        <w:ind w:firstLine="709"/>
        <w:jc w:val="both"/>
      </w:pPr>
      <w:r>
        <w:rPr>
          <w:rFonts w:ascii="Times New Roman" w:hAnsi="Times New Roman"/>
          <w:b/>
          <w:i w:val="0"/>
          <w:sz w:val="24"/>
        </w:rPr>
        <w:t>Отсутствие грубой неосторожности истца.</w:t>
      </w:r>
      <w:r>
        <w:rPr>
          <w:rFonts w:ascii="Times New Roman" w:hAnsi="Times New Roman"/>
          <w:b w:val="0"/>
          <w:i w:val="0"/>
          <w:sz w:val="24"/>
        </w:rPr>
        <w:t xml:space="preserve"> Пунктом 2 статьи 1083 ГК РФ: «Если грубая неосторожность самого потерпевшего содействовала возникновению или увеличению вреда, в зависимости от степени вины потерпевшего и причинителя вреда размер возмещения должен быть уменьшен.» Стоянка в месте, не запрещённом для парковки и не огороженном, грубой неосторожностью не является; знаков и предупреждений об опасности схода снега не было.</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Срок для обращения в суд истекает «[дата]», поэтому настоящий иск предъявлен своевременно.</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210, 1064, 1083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