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возмещении ущерба, причинённого заливом жилого помещения</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возмещении ущерба, причинённого заливом жилого помещения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210 и 1064 ГК РФ и статью 30 ЖК РФ: залив произошёл из квартиры ответчика из-за неисправности его оборудования, а он не доказал отсутствие вины (части 1 и 2 статьи 379.7 ГПК РФ).</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Обязанности собственника жилого помещения.</w:t>
      </w:r>
      <w:r>
        <w:rPr>
          <w:rFonts w:ascii="Times New Roman" w:hAnsi="Times New Roman"/>
          <w:b w:val="0"/>
          <w:i w:val="0"/>
          <w:sz w:val="24"/>
        </w:rPr>
        <w:t xml:space="preserve"> Статьёй 210 ГК РФ установлено: «Собственник несет бремя содержания принадлежащего ему имущества, если иное не предусмотрено законом или договором.» Частью 3 статьи 30 Жилищного кодекса РФ (далее — ЖК РФ):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 Частью 4 той же статьи: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правила пользования жилыми помещениями, а также правила содержания общего имущества собственников помещений в многоквартирном доме.»</w:t>
      </w:r>
    </w:p>
    <w:p>
      <w:pPr>
        <w:spacing w:after="120" w:line="276" w:lineRule="auto"/>
        <w:ind w:firstLine="709"/>
        <w:jc w:val="both"/>
      </w:pPr>
      <w:r>
        <w:rPr>
          <w:rFonts w:ascii="Times New Roman" w:hAnsi="Times New Roman"/>
          <w:b w:val="0"/>
          <w:i w:val="0"/>
          <w:sz w:val="24"/>
        </w:rPr>
        <w:t>Внутриквартирное оборудование, расположенное после первых отключающих устройств на ответвлениях от стояков (краны, гибкие подводки, смесители, бытовая техника), не входит в состав общего имущества многоквартирного дома и находится в зоне ответственности собственника квартиры. Залив произошёл из-за неисправности именно такого оборудования, поэтому ответственность несёт ответчик.</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 Акт о заливе, составленный управляющей организацией, является письменным доказательством причины залива; ответчик своих возражений против акта не заявлял.</w:t>
      </w:r>
    </w:p>
    <w:p>
      <w:pPr>
        <w:spacing w:after="120" w:line="276" w:lineRule="auto"/>
        <w:ind w:firstLine="709"/>
        <w:jc w:val="both"/>
      </w:pPr>
      <w:r>
        <w:rPr>
          <w:rFonts w:ascii="Times New Roman" w:hAnsi="Times New Roman"/>
          <w:b/>
          <w:i w:val="0"/>
          <w:sz w:val="24"/>
        </w:rPr>
        <w:t>[Если в квартире ответчика проживают наниматели / арендаторы.]</w:t>
      </w:r>
      <w:r>
        <w:rPr>
          <w:rFonts w:ascii="Times New Roman" w:hAnsi="Times New Roman"/>
          <w:b w:val="0"/>
          <w:i w:val="0"/>
          <w:sz w:val="24"/>
        </w:rPr>
        <w:t xml:space="preserve"> Перед третьими лицами за состояние оборудования отвечает собственник, который вправе предъявить регрессные требования к нанимателю (арендатору) по договору с ним.</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210, 1064 ГК РФ, статьёй 30 ЖК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