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грузоотправитель (грузополучатель)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перевозчик: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возмещении ущерба, причинённого утратой (недостачей, повреждением) груза при перевозке, и возврате провозной платы</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возмещении ущерба, причинённого утратой (недостачей, повреждением) груза при перевозке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796 ГК РФ: перевозчик отвечает за утрату и повреждение груза, если не докажет, что они произошли вследствие обстоятельств, которые он не мог предотвратить (части 1 и 2 статьи 288 АПК РФ).</w:t>
      </w:r>
    </w:p>
    <w:p>
      <w:pPr>
        <w:spacing w:after="120" w:line="276" w:lineRule="auto"/>
        <w:ind w:firstLine="709"/>
        <w:jc w:val="both"/>
      </w:pPr>
      <w:r>
        <w:rPr>
          <w:rFonts w:ascii="Times New Roman" w:hAnsi="Times New Roman"/>
          <w:b/>
          <w:i w:val="0"/>
          <w:sz w:val="24"/>
        </w:rPr>
        <w:t>Договор перевозки груза.</w:t>
      </w:r>
      <w:r>
        <w:rPr>
          <w:rFonts w:ascii="Times New Roman" w:hAnsi="Times New Roman"/>
          <w:b w:val="0"/>
          <w:i w:val="0"/>
          <w:sz w:val="24"/>
        </w:rPr>
        <w:t xml:space="preserve"> Пунктом 1 статьи 785 Гражданского кодекса Российской Федерации (далее — ГК РФ) установлено: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Согласно пункту 2 той же статьи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 Частью 1 статьи 8 Федерального закона от 08.11.2007 № 259-ФЗ «Устав автомобильного транспорта и городского наземного электрического транспорта» (далее — УАТ) предусмотрено: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формируется в виде электронной транспортной накладной.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транспортная накладная оформляется на бумажном носителе. В указанных случаях не исключается возможность формирования транспортной накладной в виде электронной транспортной накладной, если это предусмотрено договором перевозки груза.»</w:t>
      </w:r>
    </w:p>
    <w:p>
      <w:pPr>
        <w:spacing w:after="120" w:line="276" w:lineRule="auto"/>
        <w:ind w:firstLine="709"/>
        <w:jc w:val="both"/>
      </w:pPr>
      <w:r>
        <w:rPr>
          <w:rFonts w:ascii="Times New Roman" w:hAnsi="Times New Roman"/>
          <w:b/>
          <w:i w:val="0"/>
          <w:sz w:val="24"/>
        </w:rPr>
        <w:t>Ответственность перевозчика за сохранность груза.</w:t>
      </w:r>
      <w:r>
        <w:rPr>
          <w:rFonts w:ascii="Times New Roman" w:hAnsi="Times New Roman"/>
          <w:b w:val="0"/>
          <w:i w:val="0"/>
          <w:sz w:val="24"/>
        </w:rPr>
        <w:t xml:space="preserve"> Пунктом 1 статьи 796 ГК РФ установлено: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 Частью 5 статьи 34 УАТ предусмотрено: «Перевозчик несет ответственность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 Ответчик не доказал, что несохранность вызвана обстоятельствами, которые он не мог предотвратить; [хищение / ДТП] к таким обстоятельствам не относятся.</w:t>
      </w:r>
    </w:p>
    <w:p>
      <w:pPr>
        <w:spacing w:after="120" w:line="276" w:lineRule="auto"/>
        <w:ind w:firstLine="709"/>
        <w:jc w:val="both"/>
      </w:pPr>
      <w:r>
        <w:rPr>
          <w:rFonts w:ascii="Times New Roman" w:hAnsi="Times New Roman"/>
          <w:b/>
          <w:i w:val="0"/>
          <w:sz w:val="24"/>
        </w:rPr>
        <w:t>Размер ущерба.</w:t>
      </w:r>
      <w:r>
        <w:rPr>
          <w:rFonts w:ascii="Times New Roman" w:hAnsi="Times New Roman"/>
          <w:b w:val="0"/>
          <w:i w:val="0"/>
          <w:sz w:val="24"/>
        </w:rPr>
        <w:t xml:space="preserve"> Согласно пункту 2 статьи 796 ГК РФ ущерб возмещается «в случае утраты или недостачи груза или багажа - в размере стоимости утраченного или недостающего груза или багажа»;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 Частью 8 статьи 34 УАТ установлено: «Стоимость груза, багажа определяется исходя из цены груза, багажа, указанной в счете продавца или предусмотренной договором перевозки груза, договором перевозки пассажира,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pPr>
        <w:spacing w:after="120" w:line="276" w:lineRule="auto"/>
        <w:ind w:firstLine="709"/>
        <w:jc w:val="both"/>
      </w:pPr>
      <w:r>
        <w:rPr>
          <w:rFonts w:ascii="Times New Roman" w:hAnsi="Times New Roman"/>
          <w:b/>
          <w:i w:val="0"/>
          <w:sz w:val="24"/>
        </w:rPr>
        <w:t>Возврат провозной платы.</w:t>
      </w:r>
      <w:r>
        <w:rPr>
          <w:rFonts w:ascii="Times New Roman" w:hAnsi="Times New Roman"/>
          <w:b w:val="0"/>
          <w:i w:val="0"/>
          <w:sz w:val="24"/>
        </w:rPr>
        <w:t xml:space="preserve"> Пунктом 3 статьи 796 ГК РФ предусмотрено: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pPr>
        <w:spacing w:after="120" w:line="276" w:lineRule="auto"/>
        <w:ind w:firstLine="709"/>
        <w:jc w:val="both"/>
      </w:pPr>
      <w:r>
        <w:rPr>
          <w:rFonts w:ascii="Times New Roman" w:hAnsi="Times New Roman"/>
          <w:b/>
          <w:i w:val="0"/>
          <w:sz w:val="24"/>
        </w:rPr>
        <w:t>Документы о несохранности.</w:t>
      </w:r>
      <w:r>
        <w:rPr>
          <w:rFonts w:ascii="Times New Roman" w:hAnsi="Times New Roman"/>
          <w:b w:val="0"/>
          <w:i w:val="0"/>
          <w:sz w:val="24"/>
        </w:rPr>
        <w:t xml:space="preserve"> Частью 1 статьи 38 УАТ установлено: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 Согласно пункту 4 статьи 796 ГК РФ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pPr>
        <w:spacing w:after="120" w:line="276" w:lineRule="auto"/>
        <w:ind w:firstLine="709"/>
        <w:jc w:val="both"/>
      </w:pPr>
      <w:r>
        <w:rPr>
          <w:rFonts w:ascii="Times New Roman" w:hAnsi="Times New Roman"/>
          <w:b/>
          <w:i w:val="0"/>
          <w:sz w:val="24"/>
        </w:rPr>
        <w:t>Недопустимость ограничения ответственности.</w:t>
      </w:r>
      <w:r>
        <w:rPr>
          <w:rFonts w:ascii="Times New Roman" w:hAnsi="Times New Roman"/>
          <w:b w:val="0"/>
          <w:i w:val="0"/>
          <w:sz w:val="24"/>
        </w:rPr>
        <w:t xml:space="preserve"> Пунктом 2 статьи 793 ГК РФ установлено: «Соглашения транспортных организаций с пассажирами и грузовладельцами об ограничении или устранении установленной законом ответственности перевозчика недействительны, за исключением случаев, когда возможность таких соглашений при перевозках груза предусмотрена транспортными уставами и кодексами.»</w:t>
      </w:r>
    </w:p>
    <w:p>
      <w:pPr>
        <w:spacing w:after="120" w:line="276" w:lineRule="auto"/>
        <w:ind w:firstLine="709"/>
        <w:jc w:val="both"/>
      </w:pPr>
      <w:r>
        <w:rPr>
          <w:rFonts w:ascii="Times New Roman" w:hAnsi="Times New Roman"/>
          <w:b/>
          <w:i w:val="0"/>
          <w:sz w:val="24"/>
        </w:rPr>
        <w:t>Обязательная претензия к перевозчику.</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2 статьи 39 УАТ предусмотрено: «До предъявления к перевозчикам исков, вытекающих из договоров перевозок грузов, к таким лицам в обязательном порядке предъявляются претензии.» Согласно пункту 2 статьи 797 ГК РФ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pPr>
        <w:spacing w:after="120" w:line="276" w:lineRule="auto"/>
        <w:ind w:firstLine="709"/>
        <w:jc w:val="both"/>
      </w:pPr>
      <w:r>
        <w:rPr>
          <w:rFonts w:ascii="Times New Roman" w:hAnsi="Times New Roman"/>
          <w:b w:val="0"/>
          <w:i w:val="0"/>
          <w:sz w:val="24"/>
        </w:rPr>
        <w:t>Претензия с приложением документов о количестве и стоимости груза направлена ответчику «[дата]» и получена «[дата]»; [ответчик отказал письмом от «[дата]» / ответ не получен в течение 30 дней].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785, 796 ГК РФ, статьёй 34 Устава автомобильного транспорта,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