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3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возмещении вреда здоровью и имуществу, причинённого собакой, и компенсации морального вреда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возмещении вреда здоровью и имуществу, причинённого собакой, и компенсации морального вреда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137, 210 и 1064 ГК РФ и Закон об ответственном обращении с животными: владелец собаки отвечает за вред, причинённый ею, если не докажет отсутствие вины (части 1 и 2 статьи 379.7 ГПК РФ).</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Ответственность владельца животного.</w:t>
      </w:r>
      <w:r>
        <w:rPr>
          <w:rFonts w:ascii="Times New Roman" w:hAnsi="Times New Roman"/>
          <w:b w:val="0"/>
          <w:i w:val="0"/>
          <w:sz w:val="24"/>
        </w:rPr>
        <w:t xml:space="preserve"> Статьёй 137 ГК РФ установлено: «К животным применяются общие правила об имуществе постольку, поскольку законом или иными правовыми актами не установлено иное.» Статьёй 210 ГК РФ: «Собственник несет бремя содержания принадлежащего ему имущества, если иное не предусмотрено законом или договором.» Владелец обязан содержать животное так, чтобы исключить причинение вреда окружающим. Федеральным законом от 27.12.2018 № 498-ФЗ «Об ответственном обращении с животными» на владельцев возложена обязанность при выгуле собаки исключать её неконтролируемое передвижение и обеспечивать безопасность граждан (ст. 13 Закона); выгул потенциально опасных собак без намордника и поводка запрещён, кроме огороженной территории владельца.</w:t>
      </w:r>
    </w:p>
    <w:p>
      <w:pPr>
        <w:spacing w:after="120" w:line="276" w:lineRule="auto"/>
        <w:ind w:firstLine="709"/>
        <w:jc w:val="both"/>
      </w:pPr>
      <w:r>
        <w:rPr>
          <w:rFonts w:ascii="Times New Roman" w:hAnsi="Times New Roman"/>
          <w:b/>
          <w:i w:val="0"/>
          <w:sz w:val="24"/>
        </w:rPr>
        <w:t>[Если собака безнадзорная.]</w:t>
      </w:r>
      <w:r>
        <w:rPr>
          <w:rFonts w:ascii="Times New Roman" w:hAnsi="Times New Roman"/>
          <w:b w:val="0"/>
          <w:i w:val="0"/>
          <w:sz w:val="24"/>
        </w:rPr>
        <w:t xml:space="preserve"> Деятельность по обращению с животными без владельцев (отлов, содержание, возврат в среду обитания) отнесена к полномочиям субъекта РФ и может передаваться органам местного самоуправления; ненадлежащее исполнение этих полномочий, повлёкшее нападение, является основанием ответственности уполномоченного органа (ст. 1064, 1069 ГК РФ). Статьёй 1069 ГК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w:t>
      </w:r>
    </w:p>
    <w:p>
      <w:pPr>
        <w:spacing w:after="120" w:line="276" w:lineRule="auto"/>
        <w:ind w:firstLine="709"/>
        <w:jc w:val="both"/>
      </w:pPr>
      <w:r>
        <w:rPr>
          <w:rFonts w:ascii="Times New Roman" w:hAnsi="Times New Roman"/>
          <w:b/>
          <w:i w:val="0"/>
          <w:sz w:val="24"/>
        </w:rPr>
        <w:t>Объём возмещения вреда здоровью.</w:t>
      </w:r>
      <w:r>
        <w:rPr>
          <w:rFonts w:ascii="Times New Roman" w:hAnsi="Times New Roman"/>
          <w:b w:val="0"/>
          <w:i w:val="0"/>
          <w:sz w:val="24"/>
        </w:rPr>
        <w:t xml:space="preserve"> Пунктом 1 статьи 1085 ГК РФ: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w:t>
      </w:r>
    </w:p>
    <w:p>
      <w:pPr>
        <w:spacing w:after="120" w:line="276" w:lineRule="auto"/>
        <w:ind w:firstLine="709"/>
        <w:jc w:val="both"/>
      </w:pPr>
      <w:r>
        <w:rPr>
          <w:rFonts w:ascii="Times New Roman" w:hAnsi="Times New Roman"/>
          <w:b/>
          <w:i w:val="0"/>
          <w:sz w:val="24"/>
        </w:rPr>
        <w:t>Полное возмещение убытков.</w:t>
      </w:r>
      <w:r>
        <w:rPr>
          <w:rFonts w:ascii="Times New Roman" w:hAnsi="Times New Roman"/>
          <w:b w:val="0"/>
          <w:i w:val="0"/>
          <w:sz w:val="24"/>
        </w:rPr>
        <w:t xml:space="preserve"> В силу пункта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2 той же статьи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Статьёй 1082 ГК РФ предусмотрено: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151 ГК РФ установлено: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Разъяснения о критериях определения размера компенсации даны в постановлении Пленума Верховного Суда РФ от 15.11.2022 № 33 «О практике применения судами норм о компенсации морального вреда».</w:t>
      </w:r>
    </w:p>
    <w:p>
      <w:pPr>
        <w:spacing w:after="120" w:line="276" w:lineRule="auto"/>
        <w:ind w:firstLine="709"/>
        <w:jc w:val="both"/>
      </w:pPr>
      <w:r>
        <w:rPr>
          <w:rFonts w:ascii="Times New Roman" w:hAnsi="Times New Roman"/>
          <w:b/>
          <w:i w:val="0"/>
          <w:sz w:val="24"/>
        </w:rPr>
        <w:t>[Если потерпевший — ребёнок.]</w:t>
      </w:r>
      <w:r>
        <w:rPr>
          <w:rFonts w:ascii="Times New Roman" w:hAnsi="Times New Roman"/>
          <w:b w:val="0"/>
          <w:i w:val="0"/>
          <w:sz w:val="24"/>
        </w:rPr>
        <w:t xml:space="preserve"> При определении размера компенсации учитываются возраст ребёнка, его особая уязвимость, длительность лечения и психологические последствия.</w:t>
      </w:r>
    </w:p>
    <w:p>
      <w:pPr>
        <w:spacing w:after="120" w:line="276" w:lineRule="auto"/>
        <w:ind w:firstLine="709"/>
        <w:jc w:val="both"/>
      </w:pPr>
      <w:r>
        <w:rPr>
          <w:rFonts w:ascii="Times New Roman" w:hAnsi="Times New Roman"/>
          <w:b/>
          <w:i w:val="0"/>
          <w:sz w:val="24"/>
        </w:rPr>
        <w:t>Распределение бремени доказывания.</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доказывает факт причинения вреда, его размер и причинную связь с действиями (бездействием) ответчика; отсутствие вины доказывает ответчик (п. 2 ст. 1064 ГК РФ). Истец не провоцировал собаку; грубой неосторожности с его стороны не было.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 не уплачивается: подпунктом 3 пункта 1 статьи 333.36 Налогового кодекса Российской Федерации от её уплаты освобождены: «истцы - по искам о возмещении вреда, причиненного увечьем или иным повреждением здоровья, а также смертью кормильца».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137, 151, 210, 1064, 1085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