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потерпевший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причинитель вреда: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возмещении вреда, причинённого имуществу</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возмещении вреда, причинённого имуществу организации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статью 1064 ГК РФ: факт вреда, его размер и причинная связь доказаны, а вина причинителя предполагается, пока он не докажет обратное (части 1 и 2 статьи 288 АПК РФ).</w:t>
      </w:r>
    </w:p>
    <w:p>
      <w:pPr>
        <w:spacing w:after="120" w:line="276" w:lineRule="auto"/>
        <w:ind w:firstLine="709"/>
        <w:jc w:val="both"/>
      </w:pPr>
      <w:r>
        <w:rPr>
          <w:rFonts w:ascii="Times New Roman" w:hAnsi="Times New Roman"/>
          <w:b/>
          <w:i w:val="0"/>
          <w:sz w:val="24"/>
        </w:rPr>
        <w:t>Общие основания ответственности.</w:t>
      </w:r>
      <w:r>
        <w:rPr>
          <w:rFonts w:ascii="Times New Roman" w:hAnsi="Times New Roman"/>
          <w:b w:val="0"/>
          <w:i w:val="0"/>
          <w:sz w:val="24"/>
        </w:rPr>
        <w:t xml:space="preserve"> Пунктом 1 статьи 1064 Гражданского кодекса Российской Федерации (далее —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пункту 2 той же статьи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 Вина ответчика предполагается; доказательств отсутствия вины он не представил.</w:t>
      </w:r>
    </w:p>
    <w:p>
      <w:pPr>
        <w:spacing w:after="120" w:line="276" w:lineRule="auto"/>
        <w:ind w:firstLine="709"/>
        <w:jc w:val="both"/>
      </w:pPr>
      <w:r>
        <w:rPr>
          <w:rFonts w:ascii="Times New Roman" w:hAnsi="Times New Roman"/>
          <w:b/>
          <w:i w:val="0"/>
          <w:sz w:val="24"/>
        </w:rPr>
        <w:t>Ответственность за работников.</w:t>
      </w:r>
      <w:r>
        <w:rPr>
          <w:rFonts w:ascii="Times New Roman" w:hAnsi="Times New Roman"/>
          <w:b w:val="0"/>
          <w:i w:val="0"/>
          <w:sz w:val="24"/>
        </w:rPr>
        <w:t xml:space="preserve"> Пунктом 1 статьи 1068 ГК РФ установлено: «Юридическое лицо либо гражданин возмещает вред, причиненный его работником при исполнении трудовых (служебных, должностных) обязанностей.» «Применительно к правилам, предусмотренным настоящей главой, работниками признаются граждане, выполняющие работу на основании трудового договора (контракта), а также граждане, выполняющие работу по гражданско-правовому договору, если при этом они действовали или должны были действовать по заданию соответствующего юридического лица или гражданина и под его контролем за безопасным ведением работ.»</w:t>
      </w:r>
    </w:p>
    <w:p>
      <w:pPr>
        <w:spacing w:after="120" w:line="276" w:lineRule="auto"/>
        <w:ind w:firstLine="709"/>
        <w:jc w:val="both"/>
      </w:pPr>
      <w:r>
        <w:rPr>
          <w:rFonts w:ascii="Times New Roman" w:hAnsi="Times New Roman"/>
          <w:b/>
          <w:i w:val="0"/>
          <w:sz w:val="24"/>
        </w:rPr>
        <w:t>Источник повышенной опасности.</w:t>
      </w:r>
      <w:r>
        <w:rPr>
          <w:rFonts w:ascii="Times New Roman" w:hAnsi="Times New Roman"/>
          <w:b w:val="0"/>
          <w:i w:val="0"/>
          <w:sz w:val="24"/>
        </w:rPr>
        <w:t xml:space="preserve"> [Если вред причинён техникой, электроэнергией высокого напряжения, строительной деятельностью:] Пунктом 1 статьи 1079 ГК РФ установлено: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пунктами 2 и 3 статьи 1083 настоящего Кодекса.»</w:t>
      </w:r>
    </w:p>
    <w:p>
      <w:pPr>
        <w:spacing w:after="120" w:line="276" w:lineRule="auto"/>
        <w:ind w:firstLine="709"/>
        <w:jc w:val="both"/>
      </w:pPr>
      <w:r>
        <w:rPr>
          <w:rFonts w:ascii="Times New Roman" w:hAnsi="Times New Roman"/>
          <w:b/>
          <w:i w:val="0"/>
          <w:sz w:val="24"/>
        </w:rPr>
        <w:t>Способ возмещения.</w:t>
      </w:r>
      <w:r>
        <w:rPr>
          <w:rFonts w:ascii="Times New Roman" w:hAnsi="Times New Roman"/>
          <w:b w:val="0"/>
          <w:i w:val="0"/>
          <w:sz w:val="24"/>
        </w:rPr>
        <w:t xml:space="preserve"> Статьёй 1082 ГК РФ предусмотрено: «Удовлетворяя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(пункт 2 статьи 15).»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Размер вреда.</w:t>
      </w:r>
      <w:r>
        <w:rPr>
          <w:rFonts w:ascii="Times New Roman" w:hAnsi="Times New Roman"/>
          <w:b w:val="0"/>
          <w:i w:val="0"/>
          <w:sz w:val="24"/>
        </w:rPr>
        <w:t xml:space="preserve"> Размер определён заключением оценщика по рыночным ценам без учёта износа заменяемых материалов, что обеспечивает полное возмещение (пункт 1 статьи 1064 ГК РФ). Расходы на оценку — [сумма] рублей — также являются убытками.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1064, 1068, 1082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