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плательщик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получатель аванса: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неосновательного обогащения (аванса по незаключённому договору)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неосновательного обогащения в размере перечисленного аванса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432 и 1102 ГК РФ: договор не заключён, встречное предоставление не получено, поэтому аванс удерживается без правового основания (части 1 и 2 статьи 288 АПК РФ).</w:t>
      </w:r>
    </w:p>
    <w:p>
      <w:pPr>
        <w:spacing w:after="120" w:line="276" w:lineRule="auto"/>
        <w:ind w:firstLine="709"/>
        <w:jc w:val="both"/>
      </w:pPr>
      <w:r>
        <w:rPr>
          <w:rFonts w:ascii="Times New Roman" w:hAnsi="Times New Roman"/>
          <w:b/>
          <w:i w:val="0"/>
          <w:sz w:val="24"/>
        </w:rPr>
        <w:t>Договор не заключён.</w:t>
      </w:r>
      <w:r>
        <w:rPr>
          <w:rFonts w:ascii="Times New Roman" w:hAnsi="Times New Roman"/>
          <w:b w:val="0"/>
          <w:i w:val="0"/>
          <w:sz w:val="24"/>
        </w:rPr>
        <w:t xml:space="preserve"> Пунктом 1 статьи 432 ГК РФ установлено: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Условие о [предмете] не согласовано: счёт не содержит [количества, ассортимента, сроков], а переписка свидетельствует о продолжении переговоров. Пунктом 3 статьи 432 ГК РФ предусмотрено: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(пункт 3 статьи 1).» Однако ответчик никакого исполнения не предоставлял, поэтому это правило к нему не применимо.</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Гражданского кодекса Российской Федерации (далее —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2 той же статьи «Правила,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line="276" w:lineRule="auto"/>
        <w:ind w:firstLine="709"/>
        <w:jc w:val="both"/>
      </w:pPr>
      <w:r>
        <w:rPr>
          <w:rFonts w:ascii="Times New Roman" w:hAnsi="Times New Roman"/>
          <w:b/>
          <w:i w:val="0"/>
          <w:sz w:val="24"/>
        </w:rPr>
        <w:t>Применение к возврату исполненного.</w:t>
      </w:r>
      <w:r>
        <w:rPr>
          <w:rFonts w:ascii="Times New Roman" w:hAnsi="Times New Roman"/>
          <w:b w:val="0"/>
          <w:i w:val="0"/>
          <w:sz w:val="24"/>
        </w:rPr>
        <w:t xml:space="preserve"> Согласно статье 1103 ГК РФ правила о неосновательном обогащении применяются, в частности, к требованиям «одной стороны в обязательстве к другой о возврате исполненного в связи с этим обязательством»</w:t>
      </w:r>
    </w:p>
    <w:p>
      <w:pPr>
        <w:spacing w:after="120" w:line="276" w:lineRule="auto"/>
        <w:ind w:firstLine="709"/>
        <w:jc w:val="both"/>
      </w:pPr>
      <w:r>
        <w:rPr>
          <w:rFonts w:ascii="Times New Roman" w:hAnsi="Times New Roman"/>
          <w:b/>
          <w:i w:val="0"/>
          <w:sz w:val="24"/>
        </w:rPr>
        <w:t>Исключения статьи 1109 ГК РФ не применяются.</w:t>
      </w:r>
      <w:r>
        <w:rPr>
          <w:rFonts w:ascii="Times New Roman" w:hAnsi="Times New Roman"/>
          <w:b w:val="0"/>
          <w:i w:val="0"/>
          <w:sz w:val="24"/>
        </w:rPr>
        <w:t xml:space="preserve"> Статьёй 1109 ГК РФ установлено, что не подлежат возврату, в частности,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не знал об отсутствии обязательства и не имел намерения одарить ответчика.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val="0"/>
          <w:i w:val="0"/>
          <w:sz w:val="24"/>
        </w:rPr>
        <w:t>Ответчик узнал о неосновательности получения средств не позднее «[дата]» — получения требования о возврате.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432, 1102, 1107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