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заказчик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исполнитель: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неотработанного аванса по договору возмездного оказания услуг и процентов</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неотработанного аванса по договору возмездного оказания услуг и процентов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статьи 782 и 1102 ГК РФ: договор прекращён отказом заказчика, а аванс, не покрытый оказанными услугами и доказанными расходами, подлежит возврату (части 1 и 2 статьи 288 АПК РФ).</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пункту 1 статьи 779 Гражданского кодекса Российской Федерации (далее — ГК РФ)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Статьёй 783 ГК РФ установлено: «Общие положения о подряде (статьи 702 - 729) и положения о бытовом подряде (статьи 730 - 739) применяются к договору возмездного оказания услуг, если это не противоречит статьям 779 - 782 настоящего Кодекса, а также особенностям предмета договора возмездного оказания услуг.»</w:t>
      </w:r>
    </w:p>
    <w:p>
      <w:pPr>
        <w:spacing w:after="120" w:line="276" w:lineRule="auto"/>
        <w:ind w:firstLine="709"/>
        <w:jc w:val="both"/>
      </w:pPr>
      <w:r>
        <w:rPr>
          <w:rFonts w:ascii="Times New Roman" w:hAnsi="Times New Roman"/>
          <w:b/>
          <w:i w:val="0"/>
          <w:sz w:val="24"/>
        </w:rPr>
        <w:t>Право заказчика отказаться от договора.</w:t>
      </w:r>
      <w:r>
        <w:rPr>
          <w:rFonts w:ascii="Times New Roman" w:hAnsi="Times New Roman"/>
          <w:b w:val="0"/>
          <w:i w:val="0"/>
          <w:sz w:val="24"/>
        </w:rPr>
        <w:t xml:space="preserve"> Пунктом 1 статьи 782 ГК РФ установлено: «Заказчик вправе отказаться от исполнения договора возмездного оказания услуг при условии оплаты исполнителю фактически понесенных им расходов.» Согласно пункту 1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pPr>
        <w:spacing w:after="120" w:line="276" w:lineRule="auto"/>
        <w:ind w:firstLine="709"/>
        <w:jc w:val="both"/>
      </w:pPr>
      <w:r>
        <w:rPr>
          <w:rFonts w:ascii="Times New Roman" w:hAnsi="Times New Roman"/>
          <w:b/>
          <w:i w:val="0"/>
          <w:sz w:val="24"/>
        </w:rPr>
        <w:t>Возврат неотработанного аванса.</w:t>
      </w:r>
      <w:r>
        <w:rPr>
          <w:rFonts w:ascii="Times New Roman" w:hAnsi="Times New Roman"/>
          <w:b w:val="0"/>
          <w:i w:val="0"/>
          <w:sz w:val="24"/>
        </w:rPr>
        <w:t xml:space="preserve"> После прекращения Договора у исполнителя отсутствуют основания удерживать денежные средства сверх стоимости оказанных услуг и фактически понесённых расходов. Абзацем вторым пункта 4 статьи 453 ГК РФ предусмотрено: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Проценты исчисляются с даты прекращения Договора — «[дата]» — и составляют [сумма] рублей.</w:t>
      </w:r>
    </w:p>
    <w:p>
      <w:pPr>
        <w:spacing w:after="120" w:line="276" w:lineRule="auto"/>
        <w:ind w:firstLine="709"/>
        <w:jc w:val="both"/>
      </w:pPr>
      <w:r>
        <w:rPr>
          <w:rFonts w:ascii="Times New Roman" w:hAnsi="Times New Roman"/>
          <w:b/>
          <w:i w:val="0"/>
          <w:sz w:val="24"/>
        </w:rPr>
        <w:t>Убытки.</w:t>
      </w:r>
      <w:r>
        <w:rPr>
          <w:rFonts w:ascii="Times New Roman" w:hAnsi="Times New Roman"/>
          <w:b w:val="0"/>
          <w:i w:val="0"/>
          <w:sz w:val="24"/>
        </w:rPr>
        <w:t xml:space="preserve"> [Если отказ вызван нарушениями исполнителя:] Пунктом 2 статьи 405 ГК РФ установлено: «Если вследствие просрочки должника исполнение утратило интерес для кредитора, он может отказаться от принятия исполнения и требовать возмещения убытков.» Согласно пункту 5 статьи 453 ГК РФ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395, 450.1, 782, 1102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