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страхователь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страховщик: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части страховой премии за неистекший срок страхования в связи с досрочным прекращением договора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части страховой премии пропорционально неистёкшему сроку страхования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958 ГК РФ: договор прекратился досрочно, поскольку возможность наступления страхового случая отпала, поэтому премия возвращается пропорционально (части 1 и 2 статьи 288 АПК РФ).</w:t>
      </w:r>
    </w:p>
    <w:p>
      <w:pPr>
        <w:spacing w:after="120" w:line="276" w:lineRule="auto"/>
        <w:ind w:firstLine="709"/>
        <w:jc w:val="both"/>
      </w:pPr>
      <w:r>
        <w:rPr>
          <w:rFonts w:ascii="Times New Roman" w:hAnsi="Times New Roman"/>
          <w:b/>
          <w:i w:val="0"/>
          <w:sz w:val="24"/>
        </w:rPr>
        <w:t>Досрочное прекращение договора.</w:t>
      </w:r>
      <w:r>
        <w:rPr>
          <w:rFonts w:ascii="Times New Roman" w:hAnsi="Times New Roman"/>
          <w:b w:val="0"/>
          <w:i w:val="0"/>
          <w:sz w:val="24"/>
        </w:rPr>
        <w:t xml:space="preserve"> Пунктом 1 статьи 958 Гражданского кодекса Российской Федерации (далее — ГК РФ) установлено: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«гибель застрахованного имущества по причинам иным, чем наступление страхового случая»; «прекращение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pPr>
        <w:spacing w:after="120" w:line="276" w:lineRule="auto"/>
        <w:ind w:firstLine="709"/>
        <w:jc w:val="both"/>
      </w:pPr>
      <w:r>
        <w:rPr>
          <w:rFonts w:ascii="Times New Roman" w:hAnsi="Times New Roman"/>
          <w:b/>
          <w:i w:val="0"/>
          <w:sz w:val="24"/>
        </w:rPr>
        <w:t>Право страховщика только на часть премии.</w:t>
      </w:r>
      <w:r>
        <w:rPr>
          <w:rFonts w:ascii="Times New Roman" w:hAnsi="Times New Roman"/>
          <w:b w:val="0"/>
          <w:i w:val="0"/>
          <w:sz w:val="24"/>
        </w:rPr>
        <w:t xml:space="preserve"> Абзацем первым пункта 3 статьи 958 ГК РФ предусмотрено: «При досрочном прекращении договора страхования по обстоятельствам, указанным в пункте 1 настоящей статьи, страховщик имеет право на часть страховой премии пропорционально времени, в течение которого действовало страхование.» Страхование действовало [__] дней; за остальной период премия получена ответчиком без встречного предоставления.</w:t>
      </w:r>
    </w:p>
    <w:p>
      <w:pPr>
        <w:spacing w:after="120" w:line="276" w:lineRule="auto"/>
        <w:ind w:firstLine="709"/>
        <w:jc w:val="both"/>
      </w:pPr>
      <w:r>
        <w:rPr>
          <w:rFonts w:ascii="Times New Roman" w:hAnsi="Times New Roman"/>
          <w:b/>
          <w:i w:val="0"/>
          <w:sz w:val="24"/>
        </w:rPr>
        <w:t>Отличие от отказа страхователя.</w:t>
      </w:r>
      <w:r>
        <w:rPr>
          <w:rFonts w:ascii="Times New Roman" w:hAnsi="Times New Roman"/>
          <w:b w:val="0"/>
          <w:i w:val="0"/>
          <w:sz w:val="24"/>
        </w:rPr>
        <w:t xml:space="preserve"> Абзацем вторым пункта 3 статьи 958 ГК РФ установлено: «При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 Однако в данном случае договор прекратился не в связи с добровольным отказом, а потому, что страховой риск перестал существовать, поэтому применяется абзац первый пункта 3 статьи 958 ГК РФ. [Если основание — отказ: пунктом [__] Правил страхования предусмотрен возврат части премии и при отказе страхователя.]</w:t>
      </w:r>
    </w:p>
    <w:p>
      <w:pPr>
        <w:spacing w:after="120" w:line="276" w:lineRule="auto"/>
        <w:ind w:firstLine="709"/>
        <w:jc w:val="both"/>
      </w:pPr>
      <w:r>
        <w:rPr>
          <w:rFonts w:ascii="Times New Roman" w:hAnsi="Times New Roman"/>
          <w:b/>
          <w:i w:val="0"/>
          <w:sz w:val="24"/>
        </w:rPr>
        <w:t>Правила страхования.</w:t>
      </w:r>
      <w:r>
        <w:rPr>
          <w:rFonts w:ascii="Times New Roman" w:hAnsi="Times New Roman"/>
          <w:b w:val="0"/>
          <w:i w:val="0"/>
          <w:sz w:val="24"/>
        </w:rPr>
        <w:t xml:space="preserve"> Пунктом 2 статьи 943 ГК РФ предусмотрено: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Согласно пункту 4 той же статьи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line="276" w:lineRule="auto"/>
        <w:ind w:firstLine="709"/>
        <w:jc w:val="both"/>
      </w:pPr>
      <w:r>
        <w:rPr>
          <w:rFonts w:ascii="Times New Roman" w:hAnsi="Times New Roman"/>
          <w:b/>
          <w:i w:val="0"/>
          <w:sz w:val="24"/>
        </w:rPr>
        <w:t>Неосновательное обогащение и проценты.</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958,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