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поставщик (подрядчик, исполнитель)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государственный (муниципальный)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суммы обеспечения исполнения контракта и процентов за пользование чужими денежными средствами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суммы обеспечения исполнения контракта и процентов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часть 27 статьи 34 Закона № 44-ФЗ: обязательства по контракту исполнены, поэтому денежное обеспечение подлежит возврату в установленный срок (части 1 и 2 статьи 288 АПК РФ).</w:t>
      </w:r>
    </w:p>
    <w:p>
      <w:pPr>
        <w:spacing w:after="120" w:line="276" w:lineRule="auto"/>
        <w:ind w:firstLine="709"/>
        <w:jc w:val="both"/>
      </w:pPr>
      <w:r>
        <w:rPr>
          <w:rFonts w:ascii="Times New Roman" w:hAnsi="Times New Roman"/>
          <w:b/>
          <w:i w:val="0"/>
          <w:sz w:val="24"/>
        </w:rPr>
        <w:t>Государственный (муниципальный) контракт.</w:t>
      </w:r>
      <w:r>
        <w:rPr>
          <w:rFonts w:ascii="Times New Roman" w:hAnsi="Times New Roman"/>
          <w:b w:val="0"/>
          <w:i w:val="0"/>
          <w:sz w:val="24"/>
        </w:rPr>
        <w:t xml:space="preserve"> [Для поставки:] Статьёй 526 Гражданского кодекса Российской Федерации (далее — ГК РФ) установлено: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[Для подряда:] Пунктом 2 статьи 763 ГК РФ предусмотрено: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части 1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spacing w:after="120" w:line="276" w:lineRule="auto"/>
        <w:ind w:firstLine="709"/>
        <w:jc w:val="both"/>
      </w:pPr>
      <w:r>
        <w:rPr>
          <w:rFonts w:ascii="Times New Roman" w:hAnsi="Times New Roman"/>
          <w:b/>
          <w:i w:val="0"/>
          <w:sz w:val="24"/>
        </w:rPr>
        <w:t>Способ обеспечения.</w:t>
      </w:r>
      <w:r>
        <w:rPr>
          <w:rFonts w:ascii="Times New Roman" w:hAnsi="Times New Roman"/>
          <w:b w:val="0"/>
          <w:i w:val="0"/>
          <w:sz w:val="24"/>
        </w:rPr>
        <w:t xml:space="preserve"> Частью 3 статьи 96 Закона № 44-ФЗ установлено: «Исполнение контракта, гарантийные обязательства могут обеспечиваться предоставлением независимой гарантии, соответствующей требованиям статьи 45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настоящего Федерального закона.»</w:t>
      </w:r>
    </w:p>
    <w:p>
      <w:pPr>
        <w:spacing w:after="120" w:line="276" w:lineRule="auto"/>
        <w:ind w:firstLine="709"/>
        <w:jc w:val="both"/>
      </w:pPr>
      <w:r>
        <w:rPr>
          <w:rFonts w:ascii="Times New Roman" w:hAnsi="Times New Roman"/>
          <w:b/>
          <w:i w:val="0"/>
          <w:sz w:val="24"/>
        </w:rPr>
        <w:t>Срок возврата обеспечения.</w:t>
      </w:r>
      <w:r>
        <w:rPr>
          <w:rFonts w:ascii="Times New Roman" w:hAnsi="Times New Roman"/>
          <w:b w:val="0"/>
          <w:i w:val="0"/>
          <w:sz w:val="24"/>
        </w:rPr>
        <w:t xml:space="preserve"> Частью 27 статьи 34 Закона № 44-ФЗ предусмотрено: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настоящего Федерального закона.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частью 3 статьи 30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pPr>
        <w:spacing w:after="120" w:line="276" w:lineRule="auto"/>
        <w:ind w:firstLine="709"/>
        <w:jc w:val="both"/>
      </w:pPr>
      <w:r>
        <w:rPr>
          <w:rFonts w:ascii="Times New Roman" w:hAnsi="Times New Roman"/>
          <w:b/>
          <w:i w:val="0"/>
          <w:sz w:val="24"/>
        </w:rPr>
        <w:t>Природа денежного обеспечения.</w:t>
      </w:r>
      <w:r>
        <w:rPr>
          <w:rFonts w:ascii="Times New Roman" w:hAnsi="Times New Roman"/>
          <w:b w:val="0"/>
          <w:i w:val="0"/>
          <w:sz w:val="24"/>
        </w:rPr>
        <w:t xml:space="preserve"> Денежные средства, внесённые в качестве обеспечения, остаются имуществом поставщика и служат гарантией исполнения его обязательств. Пунктом 2 статьи 381.1 ГК РФ установлено применительно к обеспечительному платежу: «В случае ненаступления в предусмотренный договором срок обстоятельств, указанных в абзаце втором пункта 1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 Обеспеченное обязательство прекращено надлежащим исполнением, требований об уплате неустоек ответчик не предъявлял [предъявил необоснованно].</w:t>
      </w:r>
    </w:p>
    <w:p>
      <w:pPr>
        <w:spacing w:after="120" w:line="276" w:lineRule="auto"/>
        <w:ind w:firstLine="709"/>
        <w:jc w:val="both"/>
      </w:pPr>
      <w:r>
        <w:rPr>
          <w:rFonts w:ascii="Times New Roman" w:hAnsi="Times New Roman"/>
          <w:b/>
          <w:i w:val="0"/>
          <w:sz w:val="24"/>
        </w:rPr>
        <w:t>Неосновательное обогащение и проценты.</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Проценты за период с «[дата]» по «[дата]» составляют [сумма] рублей.</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381.1, 395 ГК РФ, статьёй 34 Федерального закона № 44-ФЗ,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