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заказчик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подрядчик: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неотработанного аванса как неосновательного обогащения и процентов за пользование чужими денежными средствами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неотработанного аванса как неосновательного обогащения и процентов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715, 717 и 1102 ГК РФ: договор прекращён в результате отказа заказчика, а аванс, не покрытый встречным предоставлением, является неосновательным обогащением подрядчика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2 той же статьи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Право заказчика отказаться от договора.</w:t>
      </w:r>
      <w:r>
        <w:rPr>
          <w:rFonts w:ascii="Times New Roman" w:hAnsi="Times New Roman"/>
          <w:b w:val="0"/>
          <w:i w:val="0"/>
          <w:sz w:val="24"/>
        </w:rPr>
        <w:t xml:space="preserve"> Пунктом 2 статьи 715 ГК РФ установлено: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Сроки выполнения работ являются существенным условием Договора (пункт 1 статьи 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Темп работ ответчика делал их окончание к сроку очевидно невозможным, что подтверждается [актами осмотра объекта, перепиской, отчётами технадзора].</w:t>
      </w:r>
    </w:p>
    <w:p>
      <w:pPr>
        <w:spacing w:after="120" w:line="276" w:lineRule="auto"/>
        <w:ind w:firstLine="709"/>
        <w:jc w:val="both"/>
      </w:pPr>
      <w:r>
        <w:rPr>
          <w:rFonts w:ascii="Times New Roman" w:hAnsi="Times New Roman"/>
          <w:b w:val="0"/>
          <w:i w:val="0"/>
          <w:sz w:val="24"/>
        </w:rPr>
        <w:t>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Договор прекращён «[дата]» — в день получения ответчиком уведомления [в день, когда уведомление считается доставленным в силу статьи 165.1 ГК РФ].</w:t>
      </w:r>
    </w:p>
    <w:p>
      <w:pPr>
        <w:spacing w:after="120" w:line="276" w:lineRule="auto"/>
        <w:ind w:firstLine="709"/>
        <w:jc w:val="both"/>
      </w:pPr>
      <w:r>
        <w:rPr>
          <w:rFonts w:ascii="Times New Roman" w:hAnsi="Times New Roman"/>
          <w:b/>
          <w:i w:val="0"/>
          <w:sz w:val="24"/>
        </w:rPr>
        <w:t>Последствия прекращения договора.</w:t>
      </w:r>
      <w:r>
        <w:rPr>
          <w:rFonts w:ascii="Times New Roman" w:hAnsi="Times New Roman"/>
          <w:b w:val="0"/>
          <w:i w:val="0"/>
          <w:sz w:val="24"/>
        </w:rPr>
        <w:t xml:space="preserve"> Абзацем вторым пункта 4 статьи 453 ГК РФ предусмотрено: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После прекращения Договора у ответчика отпали основания удерживать денежные средства, не покрытые встречным предоставлением.</w:t>
      </w:r>
    </w:p>
    <w:p>
      <w:pPr>
        <w:spacing w:after="120" w:line="276" w:lineRule="auto"/>
        <w:ind w:firstLine="709"/>
        <w:jc w:val="both"/>
      </w:pPr>
      <w:r>
        <w:rPr>
          <w:rFonts w:ascii="Times New Roman" w:hAnsi="Times New Roman"/>
          <w:b/>
          <w:i w:val="0"/>
          <w:sz w:val="24"/>
        </w:rPr>
        <w:t>Сальдо встречных обязательств.</w:t>
      </w:r>
      <w:r>
        <w:rPr>
          <w:rFonts w:ascii="Times New Roman" w:hAnsi="Times New Roman"/>
          <w:b w:val="0"/>
          <w:i w:val="0"/>
          <w:sz w:val="24"/>
        </w:rPr>
        <w:t xml:space="preserve"> Стоимость работ, выполненных и сданных ответчиком до прекращения Договора, составляет [сумма] рублей. Разница между перечисленным авансом и стоимостью выполненных работ — [сумма] рублей — подлежит возврату. [Встречные требования истца — неустойка за просрочку в размере [сумма] рублей — учтены при определении итогового сальдо / заявлены отдельно.]</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Ответчик узнал о неосновательности сбережения средств с момента прекращения Договора — «[дата]»; проценты за период с этой даты по «[дата]» составляют [сумма] рублей.</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[Если заявляются:] Пункт 2 статьи 715 ГК РФ даёт заказчику право требовать возмещения убытков. Согласно пункту 5 статьи 453 ГК РФ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450.1, 715, 717, 1102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