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отказе от исполнения договора купли-продажи технически сложного товара, взыскании его стоимости,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отказе от исполнения договора купли-продажи технически сложного товара, взыскании уплаченной суммы,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1 статьи 18 Закона о защите прав потребителей: недостаток технически сложного товара обнаружен в течение пятнадцати дней [или является существенным, или нарушен срок ремонта], что даёт право на возврат денег (части 1 и 2 статьи 379.7 ГПК РФ).</w:t>
      </w:r>
    </w:p>
    <w:p>
      <w:pPr>
        <w:spacing w:after="120" w:line="276" w:lineRule="auto"/>
        <w:ind w:firstLine="709"/>
        <w:jc w:val="both"/>
      </w:pPr>
      <w:r>
        <w:rPr>
          <w:rFonts w:ascii="Times New Roman" w:hAnsi="Times New Roman"/>
          <w:b/>
          <w:i w:val="0"/>
          <w:sz w:val="24"/>
        </w:rPr>
        <w:t>Особые правила для технически сложного товара.</w:t>
      </w:r>
      <w:r>
        <w:rPr>
          <w:rFonts w:ascii="Times New Roman" w:hAnsi="Times New Roman"/>
          <w:b w:val="0"/>
          <w:i w:val="0"/>
          <w:sz w:val="24"/>
        </w:rPr>
        <w:t xml:space="preserve"> Абзацем восьмым пункта 1 статьи 18 Закона РФ от 07.02.1992 № 2300-1 «О защите прав потребителей» (далее — Закон) установлено: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«обнаружение существенного недостатка товара» «нарушение установленных настоящим Законом сроков устранения недостатков товара»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Абзацем двенадцатым: «Перечень технически сложных товаров утверждается Правительством Российской Федерации.»</w:t>
      </w:r>
    </w:p>
    <w:p>
      <w:pPr>
        <w:spacing w:after="120" w:line="276" w:lineRule="auto"/>
        <w:ind w:firstLine="709"/>
        <w:jc w:val="both"/>
      </w:pPr>
      <w:r>
        <w:rPr>
          <w:rFonts w:ascii="Times New Roman" w:hAnsi="Times New Roman"/>
          <w:b/>
          <w:i w:val="0"/>
          <w:sz w:val="24"/>
        </w:rPr>
        <w:t>Возврат денег и убытки.</w:t>
      </w:r>
      <w:r>
        <w:rPr>
          <w:rFonts w:ascii="Times New Roman" w:hAnsi="Times New Roman"/>
          <w:b w:val="0"/>
          <w:i w:val="0"/>
          <w:sz w:val="24"/>
        </w:rPr>
        <w:t xml:space="preserve"> Абзацем шестым пункта 1 статьи 18 Закона: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Абзацем седьмым: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Сроки ремонта (если основание — их нарушение).</w:t>
      </w:r>
      <w:r>
        <w:rPr>
          <w:rFonts w:ascii="Times New Roman" w:hAnsi="Times New Roman"/>
          <w:b w:val="0"/>
          <w:i w:val="0"/>
          <w:sz w:val="24"/>
        </w:rPr>
        <w:t xml:space="preserve"> Пунктом 1 статьи 20 Закона: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spacing w:after="120" w:line="276" w:lineRule="auto"/>
        <w:ind w:firstLine="709"/>
        <w:jc w:val="both"/>
      </w:pPr>
      <w:r>
        <w:rPr>
          <w:rFonts w:ascii="Times New Roman" w:hAnsi="Times New Roman"/>
          <w:b/>
          <w:i w:val="0"/>
          <w:sz w:val="24"/>
        </w:rPr>
        <w:t>Ответственность в гарантийный срок и проверка качества.</w:t>
      </w:r>
      <w:r>
        <w:rPr>
          <w:rFonts w:ascii="Times New Roman" w:hAnsi="Times New Roman"/>
          <w:b w:val="0"/>
          <w:i w:val="0"/>
          <w:sz w:val="24"/>
        </w:rPr>
        <w:t xml:space="preserve"> Абзацем вторым пункта 6 статьи 18 Закона: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Абзацем вторым пункта 5: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spacing w:after="120" w:line="276" w:lineRule="auto"/>
        <w:ind w:firstLine="709"/>
        <w:jc w:val="both"/>
      </w:pPr>
      <w:r>
        <w:rPr>
          <w:rFonts w:ascii="Times New Roman" w:hAnsi="Times New Roman"/>
          <w:b/>
          <w:i w:val="0"/>
          <w:sz w:val="24"/>
        </w:rPr>
        <w:t>Срок возврата и неустойка.</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spacing w:after="120" w:line="276" w:lineRule="auto"/>
        <w:ind w:firstLine="709"/>
        <w:jc w:val="both"/>
      </w:pPr>
      <w:r>
        <w:rPr>
          <w:rFonts w:ascii="Times New Roman" w:hAnsi="Times New Roman"/>
          <w:b/>
          <w:i w:val="0"/>
          <w:sz w:val="24"/>
        </w:rPr>
        <w:t>Понятие существенного недостатка.</w:t>
      </w:r>
      <w:r>
        <w:rPr>
          <w:rFonts w:ascii="Times New Roman" w:hAnsi="Times New Roman"/>
          <w:b w:val="0"/>
          <w:i w:val="0"/>
          <w:sz w:val="24"/>
        </w:rPr>
        <w:t xml:space="preserve"> Разъяснения по применению Закона даны в постановлении Пленума Верховного Суда РФ от 28.06.2012 № 17 «О рассмотрении судами гражданских дел по спорам о защите прав потребителей». Существенным признаётся, в частности, неустранимый недостаток, недостаток, который не может быть устранён без несоразмерных расходов или затрат времени, выявляется неоднократно или проявляется вновь после устранения (п. 13).</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22, 23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